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CHUẨN BỊ DỰ ÁN</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TỜ TRÌNH</w:t>
      </w:r>
    </w:p>
    <w:p>
      <w:pPr>
        <w:keepNext w:val="0"/>
        <w:widowControl/>
        <w:spacing w:after="120" w:before="0" w:line="312" w:lineRule="auto"/>
        <w:ind w:firstLine="0"/>
        <w:jc w:val="center"/>
      </w:pPr>
      <w:r>
        <w:rPr>
          <w:rFonts w:ascii="Times New Roman" w:hAnsi="Times New Roman" w:eastAsia="Times New Roman"/>
          <w:b/>
          <w:i w:val="0"/>
          <w:color w:val="000000"/>
          <w:sz w:val="26"/>
        </w:rPr>
        <w:t>Thẩm định Báo cáo nghiên cứu khả thi</w:t>
      </w:r>
    </w:p>
    <w:p>
      <w:pPr>
        <w:keepNext w:val="0"/>
        <w:widowControl/>
        <w:spacing w:after="120" w:before="0" w:line="312" w:lineRule="auto"/>
        <w:ind w:firstLine="0"/>
        <w:jc w:val="center"/>
      </w:pP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w:t>
      </w:r>
    </w:p>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color w:val="000000"/>
          <w:sz w:val="26"/>
          <w:vertAlign w:val="superscript"/>
        </w:rPr>
        <w:t>1</w:t>
      </w:r>
      <w:r>
        <w:rPr>
          <w:rFonts w:ascii="Times New Roman" w:hAnsi="Times New Roman" w:eastAsia="Times New Roman"/>
          <w:b w:val="0"/>
          <w:i/>
          <w:color w:val="000000"/>
          <w:sz w:val="26"/>
        </w:rPr>
        <w:t>)</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 tháng ... năm 2026 của Chính phủ quy định chi tiết một số điều của Luật Xây dựng về quản lý hoạt động xây dựng;</w:t>
      </w:r>
    </w:p>
    <w:p>
      <w:pPr>
        <w:keepNext w:val="0"/>
        <w:widowControl/>
        <w:spacing w:after="120" w:before="0" w:line="312" w:lineRule="auto"/>
        <w:ind w:firstLine="720"/>
        <w:jc w:val="left"/>
      </w:pPr>
      <w:r>
        <w:rPr>
          <w:rFonts w:ascii="Times New Roman" w:hAnsi="Times New Roman" w:eastAsia="Times New Roman"/>
          <w:b w:val="0"/>
          <w:i w:val="0"/>
          <w:color w:val="000000"/>
          <w:sz w:val="26"/>
        </w:rPr>
        <w:t>Các căn cứ pháp lý khác có liên quan .................................................................................</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thẩm định Báo cáo nghiên cứu khả thi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với các nội dung chính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1. Tên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2. Nhóm dự án, loại và cấp công trình chính của dự án;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5. Phạm vi, quy mô công trình trình thẩm định </w:t>
      </w:r>
      <w:r>
        <w:rPr>
          <w:rFonts w:ascii="Times New Roman" w:hAnsi="Times New Roman" w:eastAsia="Times New Roman"/>
          <w:b w:val="0"/>
          <w:i/>
          <w:color w:val="000000"/>
          <w:sz w:val="26"/>
        </w:rPr>
        <w:t>(toàn bộ dự án hoặc từng dự án thành phần hoặc theo phân kỳ đầu tư theo giai đoạn thực hiện hoặc một hoặc một số công trình của dự án);</w:t>
      </w:r>
      <w:r>
        <w:rPr>
          <w:rFonts w:ascii="Times New Roman" w:hAnsi="Times New Roman" w:eastAsia="Times New Roman"/>
          <w:b w:val="0"/>
          <w:i w:val="0"/>
          <w:color w:val="000000"/>
          <w:sz w:val="26"/>
        </w:rPr>
        <w:t xml:space="preserve"> loại và cấp công trình trình thẩm định, thời hạn sử dụng của công trình trình thẩm định theo thiết kế</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6.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7. Tên cơ quan chuẩn bị dự án và các thông tin để liên hệ (địa chỉ, điện thoại,...):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vị trí xây dựng công trình trình thẩm định</w:t>
      </w: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4</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9. Giá trị tổng mức đầu tư xây dựng của dự án; chi phí đầu tư hạng mục công trình trình thẩm định (trường hợp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10. 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11. 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12.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13. Nhà thầu tư vấn lập Báo cáo nghiên cứu khả thi; nhà thầu tư vấn lập thiết kế cơ sở/thiết kế FEED/thiết kế kỹ thuật trong Báo cáo nghiên cứu khả thi: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14.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15. Nhà thầu thẩm tra thiết kế</w:t>
      </w:r>
      <w:r>
        <w:rPr>
          <w:rFonts w:ascii="Times New Roman" w:hAnsi="Times New Roman" w:eastAsia="Times New Roman"/>
          <w:b w:val="0"/>
          <w:i w:val="0"/>
          <w:color w:val="000000"/>
          <w:sz w:val="26"/>
          <w:vertAlign w:val="superscript"/>
        </w:rPr>
        <w:t>5</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16. 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II. DANH MỤC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Tài liệu khảo sát xây dựng, thiết kế xây dựng,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Hồ sơ khảo sát xây dựng phục vụ lập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Thuyết minh Báo cáo nghiên cứu khả thi (theo quy định tại khoản 2 Điều 24 Luật Xây dựng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 Danh mục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Thiết kế cơ sở/thiết kế FEED/thiết kế kỹ thuật (bao gồm bản vẽ và thuyết minh) trong Báo cáo nghiên cứu khả thi;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Báo cáo kết quả thẩm tra </w:t>
      </w:r>
      <w:r>
        <w:rPr>
          <w:rFonts w:ascii="Times New Roman" w:hAnsi="Times New Roman" w:eastAsia="Times New Roman"/>
          <w:b w:val="0"/>
          <w:i/>
          <w:color w:val="000000"/>
          <w:sz w:val="26"/>
        </w:rPr>
        <w:t>(Bắt buộc khi công trình thuộc đối tượng phải thẩm tra thiết kế xây dựng theo quy định tại khoản 5 Điều 26 Luật Xây dựng năm 2025; các công trình khác khuyến khích thực hiện).</w:t>
      </w:r>
    </w:p>
    <w:p>
      <w:pPr>
        <w:keepNext w:val="0"/>
        <w:widowControl/>
        <w:spacing w:after="120" w:before="0" w:line="312" w:lineRule="auto"/>
        <w:ind w:firstLine="720"/>
        <w:jc w:val="both"/>
      </w:pPr>
      <w:r>
        <w:rPr>
          <w:rFonts w:ascii="Times New Roman" w:hAnsi="Times New Roman" w:eastAsia="Times New Roman"/>
          <w:b w:val="0"/>
          <w:i w:val="0"/>
          <w:color w:val="000000"/>
          <w:sz w:val="26"/>
        </w:rPr>
        <w:t>3. Danh sách mã số chứng chỉ hành nghề hoạt động xây dựng của các chức danh chủ nhiệm khảo sát xây dựng; chủ nhiệm, chủ trì các bộ môn thiết kế; chủ nhiệm, chủ trì thẩm tra (nếu có).</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color w:val="000000"/>
          <w:sz w:val="26"/>
        </w:rPr>
        <w:t xml:space="preserve"> trình</w:t>
      </w:r>
      <w:r>
        <w:rPr>
          <w:rFonts w:ascii="Times New Roman" w:hAnsi="Times New Roman" w:eastAsia="Times New Roman"/>
          <w:b w:val="0"/>
          <w:i/>
          <w:color w:val="000000"/>
          <w:sz w:val="26"/>
        </w:rPr>
        <w:t xml:space="preserve"> (Cơ quan chuyên môn về xây dựng)</w:t>
      </w:r>
      <w:r>
        <w:rPr>
          <w:rFonts w:ascii="Times New Roman" w:hAnsi="Times New Roman" w:eastAsia="Times New Roman"/>
          <w:b w:val="0"/>
          <w:i/>
          <w:color w:val="000000"/>
          <w:sz w:val="26"/>
        </w:rPr>
        <w:t xml:space="preserve"> thẩm định Báo cáo nghiên cứu khả thi</w:t>
      </w:r>
      <w:r>
        <w:rPr>
          <w:rFonts w:ascii="Times New Roman" w:hAnsi="Times New Roman" w:eastAsia="Times New Roman"/>
          <w:b w:val="0"/>
          <w:i/>
          <w:color w:val="000000"/>
          <w:sz w:val="26"/>
        </w:rPr>
        <w:t xml:space="preserve"> (tên dự án/công trình của dự án)</w:t>
      </w:r>
      <w:r>
        <w:rPr>
          <w:rFonts w:ascii="Times New Roman" w:hAnsi="Times New Roman" w:eastAsia="Times New Roman"/>
          <w:b w:val="0"/>
          <w:i w:val="0"/>
          <w:color w:val="000000"/>
          <w:sz w:val="26"/>
        </w:rPr>
        <w:t xml:space="preserve"> với các nội dung nêu trên.</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Cơ quan chuyên môn về xây dựng thuộc UBND cấp tỉnh... (để biết và quản lý)</w:t>
            </w:r>
            <w:r>
              <w:rPr>
                <w:rFonts w:ascii="Times New Roman" w:hAnsi="Times New Roman" w:eastAsia="Times New Roman"/>
                <w:b w:val="0"/>
                <w:i w:val="0"/>
                <w:color w:val="000000"/>
                <w:sz w:val="22"/>
                <w:vertAlign w:val="superscript"/>
              </w:rPr>
              <w:t>6</w:t>
            </w:r>
            <w:r>
              <w:rPr>
                <w:rFonts w:ascii="Times New Roman" w:hAnsi="Times New Roman" w:eastAsia="Times New Roman"/>
                <w:b w:val="0"/>
                <w:i w:val="0"/>
                <w:color w:val="000000"/>
                <w:sz w:val="22"/>
              </w:rPr>
              <w:t>;</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CHUẨN BỊ DỰ ÁN</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 xml:space="preserve">1 </w:t>
      </w:r>
      <w:r>
        <w:rPr>
          <w:rFonts w:ascii="Times New Roman" w:hAnsi="Times New Roman" w:eastAsia="Times New Roman"/>
          <w:b w:val="0"/>
          <w:i w:val="0"/>
          <w:color w:val="000000"/>
          <w:sz w:val="22"/>
        </w:rPr>
        <w:t>Trường hợp đã thành lập Hội đồng thẩm định theo quy định tại khoản 1 Điều 34 Nghị định này thì gửi Hội đồng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Trường hợp trình thẩm định một hoặc một số công trình của dự án/dự án thành phần/phân kỳ đầu tư.</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3</w:t>
      </w:r>
      <w:r>
        <w:rPr>
          <w:rFonts w:ascii="Times New Roman" w:hAnsi="Times New Roman" w:eastAsia="Times New Roman"/>
          <w:b w:val="0"/>
          <w:i w:val="0"/>
          <w:color w:val="000000"/>
          <w:sz w:val="22"/>
        </w:rPr>
        <w:t xml:space="preserve"> Ghi thông tin về lô/ô đất,... trong trường hợp chỉ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4</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5</w:t>
      </w:r>
      <w:r>
        <w:rPr>
          <w:rFonts w:ascii="Times New Roman" w:hAnsi="Times New Roman" w:eastAsia="Times New Roman"/>
          <w:b w:val="0"/>
          <w:i w:val="0"/>
          <w:color w:val="000000"/>
          <w:sz w:val="22"/>
        </w:rPr>
        <w:t xml:space="preserve"> Khi công trình thuộc đối tượng phải thẩm tra thiết kế xây dựng theo quy định tại khoản 5 Điều 26 Luật Xây dựng năm 2025.</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 xml:space="preserve">6 </w:t>
      </w:r>
      <w:r>
        <w:rPr>
          <w:rFonts w:ascii="Times New Roman" w:hAnsi="Times New Roman" w:eastAsia="Times New Roman"/>
          <w:b w:val="0"/>
          <w:i w:val="0"/>
          <w:color w:val="000000"/>
          <w:sz w:val="22"/>
        </w:rPr>
        <w:t>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dự án.</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01 – Tờ trình thẩm định báo cáo nghiên cứu khả thi</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