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175"/>
        <w:gridCol w:w="5896"/>
      </w:tblGrid>
      <w:tr>
        <w:trPr>
          <w:cantSplit/>
        </w:trPr>
        <w:tc>
          <w:tcPr>
            <w:tcW w:type="dxa" w:w="3175"/>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CƠ QUAN CHUYÊN MÔN</w:t>
            </w:r>
            <w:bookmarkEnd w:id="1"/>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VỀ XÂY DỰNG</w:t>
            </w:r>
            <w:r>
              <w:rPr>
                <w:rFonts w:ascii="Times New Roman" w:hAnsi="Times New Roman" w:eastAsia="Times New Roman"/>
                <w:b/>
                <w:i w:val="0"/>
                <w:color w:val="000000"/>
                <w:sz w:val="26"/>
                <w:vertAlign w:val="superscript"/>
              </w:rPr>
              <w:t>1</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V/v thông báo kết quả thẩm định Báo cáo nghiên cứu khả thi (tên dự án/công trình của dự án)</w:t>
            </w:r>
          </w:p>
        </w:tc>
        <w:tc>
          <w:tcPr>
            <w:tcW w:type="dxa" w:w="5896"/>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val="0"/>
                <w:color w:val="000000"/>
                <w:sz w:val="26"/>
              </w:rPr>
              <w:t>..., ngày ... tháng ... năm ...</w:t>
            </w:r>
            <w:bookmarkEnd w:id="3"/>
          </w:p>
        </w:tc>
      </w:tr>
    </w:tbl>
    <w:p>
      <w:pPr>
        <w:keepNext w:val="0"/>
        <w:widowControl/>
        <w:spacing w:after="120" w:before="0" w:line="312" w:lineRule="auto"/>
        <w:ind w:firstLine="0"/>
        <w:jc w:val="center"/>
      </w:pPr>
      <w:bookmarkStart w:id="4" w:name="buildsia_recipient"/>
      <w:r>
        <w:rPr>
          <w:rFonts w:ascii="Times New Roman" w:hAnsi="Times New Roman" w:eastAsia="Times New Roman"/>
          <w:b w:val="0"/>
          <w:i w:val="0"/>
          <w:color w:val="000000"/>
          <w:sz w:val="26"/>
        </w:rPr>
        <w:t xml:space="preserve">Kính gửi: </w:t>
      </w:r>
      <w:r>
        <w:rPr>
          <w:rFonts w:ascii="Times New Roman" w:hAnsi="Times New Roman" w:eastAsia="Times New Roman"/>
          <w:b w:val="0"/>
          <w:i/>
          <w:color w:val="000000"/>
          <w:sz w:val="26"/>
        </w:rPr>
        <w:t>(Cơ quan chuẩn bị dự án).</w:t>
      </w:r>
      <w:bookmarkEnd w:id="4"/>
    </w:p>
    <w:p>
      <w:pPr>
        <w:keepNext w:val="0"/>
        <w:widowControl/>
        <w:spacing w:after="120" w:before="0" w:line="312" w:lineRule="auto"/>
        <w:ind w:firstLine="720"/>
        <w:jc w:val="both"/>
      </w:pPr>
      <w:r>
        <w:rPr>
          <w:rFonts w:ascii="Times New Roman" w:hAnsi="Times New Roman" w:eastAsia="Times New Roman"/>
          <w:b w:val="0"/>
          <w:i/>
          <w:color w:val="000000"/>
          <w:sz w:val="26"/>
        </w:rPr>
        <w:t>(Cơ quan chuyên môn về xây dựng)</w:t>
      </w:r>
      <w:r>
        <w:rPr>
          <w:rFonts w:ascii="Times New Roman" w:hAnsi="Times New Roman" w:eastAsia="Times New Roman"/>
          <w:b w:val="0"/>
          <w:i w:val="0"/>
          <w:color w:val="000000"/>
          <w:sz w:val="26"/>
        </w:rPr>
        <w:t xml:space="preserve"> đã nhận Tờ trình số ... ngày ... tháng ... năm ... của </w:t>
      </w:r>
      <w:r>
        <w:rPr>
          <w:rFonts w:ascii="Times New Roman" w:hAnsi="Times New Roman" w:eastAsia="Times New Roman"/>
          <w:b w:val="0"/>
          <w:i/>
          <w:color w:val="000000"/>
          <w:sz w:val="26"/>
        </w:rPr>
        <w:t>(cơ quan chuẩn bị dự án)</w:t>
      </w:r>
      <w:r>
        <w:rPr>
          <w:rFonts w:ascii="Times New Roman" w:hAnsi="Times New Roman" w:eastAsia="Times New Roman"/>
          <w:b w:val="0"/>
          <w:i w:val="0"/>
          <w:color w:val="000000"/>
          <w:sz w:val="26"/>
        </w:rPr>
        <w:t xml:space="preserve"> trình thẩm định Báo cáo nghiên cứu khả thi </w:t>
      </w:r>
      <w:r>
        <w:rPr>
          <w:rFonts w:ascii="Times New Roman" w:hAnsi="Times New Roman" w:eastAsia="Times New Roman"/>
          <w:b w:val="0"/>
          <w:i/>
          <w:color w:val="000000"/>
          <w:sz w:val="26"/>
        </w:rPr>
        <w:t>(tên dự án/công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Luật Xây dựng ngày ... tháng ... năm 2025;</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Nghị định số .../2026/NĐ-CP ngày ... tháng ... năm 2026 của Chính phủ quy định chi tiết một số điều của Luật Xây dựng về quản lý hoạt động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Các căn cứ pháp lý khác có liên quan;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Sau khi xem xét, </w:t>
      </w:r>
      <w:r>
        <w:rPr>
          <w:rFonts w:ascii="Times New Roman" w:hAnsi="Times New Roman" w:eastAsia="Times New Roman"/>
          <w:b w:val="0"/>
          <w:i/>
          <w:color w:val="000000"/>
          <w:sz w:val="26"/>
        </w:rPr>
        <w:t>(cơ quan chuyên môn về xây dựng)</w:t>
      </w:r>
      <w:r>
        <w:rPr>
          <w:rFonts w:ascii="Times New Roman" w:hAnsi="Times New Roman" w:eastAsia="Times New Roman"/>
          <w:b w:val="0"/>
          <w:i w:val="0"/>
          <w:color w:val="000000"/>
          <w:sz w:val="26"/>
        </w:rPr>
        <w:t xml:space="preserve"> thông báo kết quả thẩm định Báo cáo nghiên cứu khả thi </w:t>
      </w:r>
      <w:r>
        <w:rPr>
          <w:rFonts w:ascii="Times New Roman" w:hAnsi="Times New Roman" w:eastAsia="Times New Roman"/>
          <w:b w:val="0"/>
          <w:i/>
          <w:color w:val="000000"/>
          <w:sz w:val="26"/>
        </w:rPr>
        <w:t>(tên dự án/công trình của dự án)</w:t>
      </w:r>
      <w:r>
        <w:rPr>
          <w:rFonts w:ascii="Times New Roman" w:hAnsi="Times New Roman" w:eastAsia="Times New Roman"/>
          <w:b w:val="0"/>
          <w:i w:val="0"/>
          <w:color w:val="000000"/>
          <w:sz w:val="26"/>
        </w:rPr>
        <w:t xml:space="preserve"> như sau:</w:t>
      </w:r>
    </w:p>
    <w:p>
      <w:pPr>
        <w:keepNext/>
        <w:widowControl/>
        <w:spacing w:after="120" w:before="80" w:line="312" w:lineRule="auto"/>
        <w:ind w:firstLine="0"/>
        <w:jc w:val="both"/>
      </w:pPr>
      <w:r>
        <w:rPr>
          <w:rFonts w:ascii="Times New Roman" w:hAnsi="Times New Roman" w:eastAsia="Times New Roman"/>
          <w:b/>
          <w:i w:val="0"/>
          <w:color w:val="000000"/>
          <w:sz w:val="26"/>
        </w:rPr>
        <w:t>I. THÔNG TIN CHUNG VỀ DỰ ÁN</w:t>
      </w:r>
    </w:p>
    <w:p>
      <w:pPr>
        <w:keepNext w:val="0"/>
        <w:widowControl/>
        <w:spacing w:after="120" w:before="0" w:line="312" w:lineRule="auto"/>
        <w:ind w:firstLine="720"/>
        <w:jc w:val="both"/>
      </w:pPr>
      <w:bookmarkStart w:id="5" w:name="buildsia_project"/>
      <w:r>
        <w:rPr>
          <w:rFonts w:ascii="Times New Roman" w:hAnsi="Times New Roman" w:eastAsia="Times New Roman"/>
          <w:b w:val="0"/>
          <w:i w:val="0"/>
          <w:color w:val="000000"/>
          <w:sz w:val="26"/>
        </w:rPr>
        <w:t>1. Tên dự án:</w:t>
      </w:r>
      <w:bookmarkEnd w:id="5"/>
    </w:p>
    <w:p>
      <w:pPr>
        <w:keepNext w:val="0"/>
        <w:widowControl/>
        <w:spacing w:after="120" w:before="0" w:line="312" w:lineRule="auto"/>
        <w:ind w:firstLine="720"/>
        <w:jc w:val="both"/>
      </w:pPr>
      <w:r>
        <w:rPr>
          <w:rFonts w:ascii="Times New Roman" w:hAnsi="Times New Roman" w:eastAsia="Times New Roman"/>
          <w:b w:val="0"/>
          <w:i w:val="0"/>
          <w:color w:val="000000"/>
          <w:sz w:val="26"/>
        </w:rPr>
        <w:t>2. Nhóm dự án, loại và cấp công trình chính của dự án, thời hạn sử dụng của công trình chính theo thiết kế:</w:t>
      </w:r>
    </w:p>
    <w:p>
      <w:pPr>
        <w:keepNext w:val="0"/>
        <w:widowControl/>
        <w:spacing w:after="120" w:before="0" w:line="312" w:lineRule="auto"/>
        <w:ind w:firstLine="720"/>
        <w:jc w:val="both"/>
      </w:pPr>
      <w:r>
        <w:rPr>
          <w:rFonts w:ascii="Times New Roman" w:hAnsi="Times New Roman" w:eastAsia="Times New Roman"/>
          <w:b w:val="0"/>
          <w:i w:val="0"/>
          <w:color w:val="000000"/>
          <w:sz w:val="26"/>
        </w:rPr>
        <w:t>3. Mã định danh:</w:t>
      </w:r>
    </w:p>
    <w:p>
      <w:pPr>
        <w:keepNext w:val="0"/>
        <w:widowControl/>
        <w:spacing w:after="120" w:before="0" w:line="312" w:lineRule="auto"/>
        <w:ind w:firstLine="720"/>
        <w:jc w:val="both"/>
      </w:pPr>
      <w:r>
        <w:rPr>
          <w:rFonts w:ascii="Times New Roman" w:hAnsi="Times New Roman" w:eastAsia="Times New Roman"/>
          <w:b w:val="0"/>
          <w:i w:val="0"/>
          <w:color w:val="000000"/>
          <w:sz w:val="26"/>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Phạm vi, quy mô các công trình thẩm định (toàn bộ dự án hoặc từng dự án thành phần hoặc theo phân kỳ đầu tư theo giai đoạn thực hiện hoặc một hoặc một số công trình của dự án); loại và cấp công trình trình thẩm định, thời hạn sử dụng của công trình trình thẩm định theo thiết kế</w:t>
      </w:r>
      <w:r>
        <w:rPr>
          <w:rFonts w:ascii="Times New Roman" w:hAnsi="Times New Roman" w:eastAsia="Times New Roman"/>
          <w:b w:val="0"/>
          <w:i w:val="0"/>
          <w:color w:val="000000"/>
          <w:sz w:val="26"/>
          <w:vertAlign w:val="superscript"/>
        </w:rPr>
        <w:t>2</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5. Người quyết định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6. Tên cơ quan chuẩn bị dự án và các thông tin để liên hệ (địa chỉ, điện thoại,...):</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7. Địa điểm xây dựng dự án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 vị trí xây dựng công trình trình thẩm định</w:t>
      </w:r>
      <w:r>
        <w:rPr>
          <w:rFonts w:ascii="Times New Roman" w:hAnsi="Times New Roman" w:eastAsia="Times New Roman"/>
          <w:b w:val="0"/>
          <w:i w:val="0"/>
          <w:color w:val="000000"/>
          <w:sz w:val="26"/>
          <w:vertAlign w:val="superscript"/>
        </w:rPr>
        <w:t>3</w:t>
      </w:r>
      <w:r>
        <w:rPr>
          <w:rFonts w:ascii="Times New Roman" w:hAnsi="Times New Roman" w:eastAsia="Times New Roman"/>
          <w:b w:val="0"/>
          <w:i w:val="0"/>
          <w:color w:val="000000"/>
          <w:sz w:val="26"/>
        </w:rPr>
        <w:t>; điểm đầu, điểm cuối và tóm tắt hướng tuyến công trình, một số điểm khống chế</w:t>
      </w:r>
      <w:r>
        <w:rPr>
          <w:rFonts w:ascii="Times New Roman" w:hAnsi="Times New Roman" w:eastAsia="Times New Roman"/>
          <w:b w:val="0"/>
          <w:i w:val="0"/>
          <w:color w:val="000000"/>
          <w:sz w:val="26"/>
          <w:vertAlign w:val="superscript"/>
        </w:rPr>
        <w:t>4</w:t>
      </w:r>
      <w:r>
        <w:rPr>
          <w:rFonts w:ascii="Times New Roman" w:hAnsi="Times New Roman" w:eastAsia="Times New Roman"/>
          <w:b w:val="0"/>
          <w:i w:val="0"/>
          <w:color w:val="000000"/>
          <w:sz w:val="26"/>
        </w:rPr>
        <w:t xml:space="preserve">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 diện tích sử dụng đất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8. Giá trị tổng mức đầu tư xây dựng của dự án; chi phí đầu tư hạng mục công trình trình thẩm định (trường hợp thẩm định đối với một hoặc một số 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9. Nguồn vốn đầu tư: (xác định và ghi rõ: vốn đầu tư công/vốn chi thường xuyên từ ngân sách nhà nước/vốn ngân sách nhà nước khác/vốn khác/thực hiện theo phương thức PPP).</w:t>
      </w:r>
    </w:p>
    <w:p>
      <w:pPr>
        <w:keepNext w:val="0"/>
        <w:widowControl/>
        <w:spacing w:after="120" w:before="0" w:line="312" w:lineRule="auto"/>
        <w:ind w:firstLine="720"/>
        <w:jc w:val="both"/>
      </w:pPr>
      <w:r>
        <w:rPr>
          <w:rFonts w:ascii="Times New Roman" w:hAnsi="Times New Roman" w:eastAsia="Times New Roman"/>
          <w:b w:val="0"/>
          <w:i w:val="0"/>
          <w:color w:val="000000"/>
          <w:sz w:val="26"/>
        </w:rPr>
        <w:t>10. Thời gian thực hiện dự án; phân kỳ đầu tư (nếu có); thời hạn hoạt động của dự án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11. Quy chuẩn kỹ thuật, tiêu chuẩn áp dụng: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12. Nhà thầu tư vấn lập Báo cáo nghiên cứu khả thi; nhà thầu tư vấn lập thiết kế cơ sở/thiết kế FEED/thiết kế kỹ thuật trong Báo cáo nghiên cứu khả thi: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13. Nhà thầu khảo sát xây dựng: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14. Nhà thầu thẩm tra thiết kế (nếu có):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15. Các thông tin khác (nếu có):</w:t>
      </w:r>
    </w:p>
    <w:p>
      <w:pPr>
        <w:keepNext/>
        <w:widowControl/>
        <w:spacing w:after="120" w:before="80" w:line="312" w:lineRule="auto"/>
        <w:ind w:firstLine="0"/>
        <w:jc w:val="both"/>
      </w:pPr>
      <w:r>
        <w:rPr>
          <w:rFonts w:ascii="Times New Roman" w:hAnsi="Times New Roman" w:eastAsia="Times New Roman"/>
          <w:b/>
          <w:i w:val="0"/>
          <w:color w:val="000000"/>
          <w:sz w:val="26"/>
        </w:rPr>
        <w:t>II. HỒ SƠ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1. Văn bản pháp lý:</w:t>
      </w:r>
    </w:p>
    <w:p>
      <w:pPr>
        <w:keepNext w:val="0"/>
        <w:widowControl/>
        <w:spacing w:after="120" w:before="0" w:line="312" w:lineRule="auto"/>
        <w:ind w:firstLine="720"/>
        <w:jc w:val="both"/>
      </w:pPr>
      <w:r>
        <w:rPr>
          <w:rFonts w:ascii="Times New Roman" w:hAnsi="Times New Roman" w:eastAsia="Times New Roman"/>
          <w:b w:val="0"/>
          <w:i/>
          <w:color w:val="000000"/>
          <w:sz w:val="26"/>
        </w:rPr>
        <w:t>(Liệt kê các văn bản pháp lý có liên quan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2. Hồ sơ, tài liệu dự án, khảo sát xây dựng, thiết kế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3. Báo cáo kết quả thẩm tra (nếu có):</w:t>
      </w:r>
    </w:p>
    <w:p>
      <w:pPr>
        <w:keepNext/>
        <w:widowControl/>
        <w:spacing w:after="120" w:before="80" w:line="312" w:lineRule="auto"/>
        <w:ind w:firstLine="0"/>
        <w:jc w:val="both"/>
      </w:pPr>
      <w:r>
        <w:rPr>
          <w:rFonts w:ascii="Times New Roman" w:hAnsi="Times New Roman" w:eastAsia="Times New Roman"/>
          <w:b/>
          <w:i w:val="0"/>
          <w:color w:val="000000"/>
          <w:sz w:val="26"/>
        </w:rPr>
        <w:t>III. NỘI DUNG HỒ SƠ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Ghi tóm tắt về nội dung thông tin cơ bản của dự án/công trình của dự án trình thẩm định được gửi kèm theo Tờ trình thẩm định Báo cáo nghiên cứu khả thi của </w:t>
      </w:r>
      <w:r>
        <w:rPr>
          <w:rFonts w:ascii="Times New Roman" w:hAnsi="Times New Roman" w:eastAsia="Times New Roman"/>
          <w:b w:val="0"/>
          <w:i/>
          <w:color w:val="000000"/>
          <w:sz w:val="26"/>
        </w:rPr>
        <w:t>(cơ quan chuẩn bị dự án).</w:t>
      </w:r>
    </w:p>
    <w:p>
      <w:pPr>
        <w:keepNext w:val="0"/>
        <w:widowControl/>
        <w:spacing w:after="120" w:before="0" w:line="312" w:lineRule="auto"/>
        <w:ind w:firstLine="720"/>
        <w:jc w:val="both"/>
      </w:pPr>
      <w:r>
        <w:rPr>
          <w:rFonts w:ascii="Times New Roman" w:hAnsi="Times New Roman" w:eastAsia="Times New Roman"/>
          <w:b w:val="0"/>
          <w:i/>
          <w:color w:val="000000"/>
          <w:sz w:val="26"/>
        </w:rPr>
        <w:t>(Riêng đối với công trình xây dựng có kết cấu dạng nhà thuộc dự án cần thể hiện được các nội dung, thông số chủ yếu của công trình gồm diện tích xây dựng, mật độ xây dựng, tổng diện tích sàn xây dựng, hệ số sử dụng đất, số tầng cao, chiều cao công trình, chỉ giới xây dựng công trình, cốt xây dựng, bố trí công năng công trình)</w:t>
      </w:r>
    </w:p>
    <w:p>
      <w:pPr>
        <w:keepNext/>
        <w:widowControl/>
        <w:spacing w:after="120" w:before="80" w:line="312" w:lineRule="auto"/>
        <w:ind w:firstLine="0"/>
        <w:jc w:val="both"/>
      </w:pPr>
      <w:r>
        <w:rPr>
          <w:rFonts w:ascii="Times New Roman" w:hAnsi="Times New Roman" w:eastAsia="Times New Roman"/>
          <w:b/>
          <w:i w:val="0"/>
          <w:color w:val="000000"/>
          <w:sz w:val="26"/>
        </w:rPr>
        <w:t>IV. PHẠM VI VÀ NGUYÊN TẮC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1. Nêu phạm vi thực hiện thẩm định Báo cáo nghiên cứu khả thi của cơ quan chuyên môn về xây dựng đối với các nội dung theo quy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2. Nguyên tắc thẩm định theo quy định tại khoản 5 Điều 7 Nghị định này.</w:t>
      </w:r>
    </w:p>
    <w:p>
      <w:pPr>
        <w:keepNext w:val="0"/>
        <w:widowControl/>
        <w:spacing w:after="120" w:before="0" w:line="312" w:lineRule="auto"/>
        <w:ind w:firstLine="720"/>
        <w:jc w:val="both"/>
      </w:pPr>
      <w:r>
        <w:rPr>
          <w:rFonts w:ascii="Times New Roman" w:hAnsi="Times New Roman" w:eastAsia="Times New Roman"/>
          <w:b w:val="0"/>
          <w:i w:val="0"/>
          <w:color w:val="000000"/>
          <w:sz w:val="26"/>
        </w:rPr>
        <w:t>3. Trường hợp thẩm định sau khi khắc phục xử phạt hành chính thì nêu các cơ sở liên quan.</w:t>
      </w:r>
    </w:p>
    <w:p>
      <w:pPr>
        <w:keepNext/>
        <w:widowControl/>
        <w:spacing w:after="120" w:before="80" w:line="312" w:lineRule="auto"/>
        <w:ind w:firstLine="0"/>
        <w:jc w:val="both"/>
      </w:pPr>
      <w:r>
        <w:rPr>
          <w:rFonts w:ascii="Times New Roman" w:hAnsi="Times New Roman" w:eastAsia="Times New Roman"/>
          <w:b/>
          <w:i w:val="0"/>
          <w:color w:val="000000"/>
          <w:sz w:val="26"/>
        </w:rPr>
        <w:t>V. KẾT QUẢ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1. Sự tuân thủ quy định của pháp luật về lập dự án đầu tư xây dựng, thiết kế xây dựng; điều kiện năng lực hành nghề hoạt động xây dựng của các cá nhân tham gia dự án (nếu cần thiết).</w:t>
      </w:r>
    </w:p>
    <w:p>
      <w:pPr>
        <w:keepNext w:val="0"/>
        <w:widowControl/>
        <w:spacing w:after="120" w:before="0" w:line="312" w:lineRule="auto"/>
        <w:ind w:firstLine="720"/>
        <w:jc w:val="both"/>
      </w:pPr>
      <w:r>
        <w:rPr>
          <w:rFonts w:ascii="Times New Roman" w:hAnsi="Times New Roman" w:eastAsia="Times New Roman"/>
          <w:b w:val="0"/>
          <w:i w:val="0"/>
          <w:color w:val="000000"/>
          <w:sz w:val="26"/>
        </w:rPr>
        <w:t>2. Sự phù hợp của thiết kế cơ sở/thiết kế FEED/thiết kế kỹ thuật với quy hoạch làm cơ sở lập dự án theo quy định tại khoản 1 Điều 26 Nghị định này.</w:t>
      </w:r>
    </w:p>
    <w:p>
      <w:pPr>
        <w:keepNext w:val="0"/>
        <w:widowControl/>
        <w:spacing w:after="120" w:before="0" w:line="312" w:lineRule="auto"/>
        <w:ind w:firstLine="720"/>
        <w:jc w:val="both"/>
      </w:pPr>
      <w:r>
        <w:rPr>
          <w:rFonts w:ascii="Times New Roman" w:hAnsi="Times New Roman" w:eastAsia="Times New Roman"/>
          <w:b w:val="0"/>
          <w:i w:val="0"/>
          <w:color w:val="000000"/>
          <w:sz w:val="26"/>
        </w:rPr>
        <w:t>3. Khả năng kết nối với hạ tầng kỹ thuật khu vực.</w:t>
      </w:r>
    </w:p>
    <w:p>
      <w:pPr>
        <w:keepNext w:val="0"/>
        <w:widowControl/>
        <w:spacing w:after="120" w:before="0" w:line="312" w:lineRule="auto"/>
        <w:ind w:firstLine="720"/>
        <w:jc w:val="both"/>
      </w:pPr>
      <w:r>
        <w:rPr>
          <w:rFonts w:ascii="Times New Roman" w:hAnsi="Times New Roman" w:eastAsia="Times New Roman"/>
          <w:b w:val="0"/>
          <w:i w:val="0"/>
          <w:color w:val="000000"/>
          <w:sz w:val="26"/>
        </w:rPr>
        <w:t>4. Sự tuân thủ quy chuẩn kỹ thuật và việc áp dụng tiêu chuẩn theo quy định của pháp luật về tiêu chuẩn, quy chuẩn kỹ thuật; các yếu tố bảo đảm an toàn xây dựng của thiết kế xây dựng; đánh giá giải pháp thiết kế về phòng cháy và chữa cháy theo quy định của pháp luật về phòng cháy, chữa cháy và cứu nạn, cứu hộ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5. Sự tuân thủ các quy định của pháp luật về quản lý chi phí đầu tư xây dựng (đối với dự án đầu tư công và dự án PPP).</w:t>
      </w:r>
    </w:p>
    <w:p>
      <w:pPr>
        <w:keepNext/>
        <w:widowControl/>
        <w:spacing w:after="120" w:before="80" w:line="312" w:lineRule="auto"/>
        <w:ind w:firstLine="0"/>
        <w:jc w:val="both"/>
      </w:pPr>
      <w:r>
        <w:rPr>
          <w:rFonts w:ascii="Times New Roman" w:hAnsi="Times New Roman" w:eastAsia="Times New Roman"/>
          <w:b/>
          <w:i w:val="0"/>
          <w:color w:val="000000"/>
          <w:sz w:val="26"/>
        </w:rPr>
        <w:t>VI. KẾT LUẬN VÀ KIẾN NGHỊ</w:t>
      </w:r>
    </w:p>
    <w:p>
      <w:pPr>
        <w:keepNext w:val="0"/>
        <w:widowControl/>
        <w:spacing w:after="120" w:before="0" w:line="312" w:lineRule="auto"/>
        <w:ind w:firstLine="720"/>
        <w:jc w:val="both"/>
      </w:pPr>
      <w:r>
        <w:rPr>
          <w:rFonts w:ascii="Times New Roman" w:hAnsi="Times New Roman" w:eastAsia="Times New Roman"/>
          <w:b w:val="0"/>
          <w:i w:val="0"/>
          <w:color w:val="000000"/>
          <w:sz w:val="26"/>
        </w:rPr>
        <w:t>1. Kết luận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Báo cáo nghiên cứu khả thi </w:t>
      </w:r>
      <w:r>
        <w:rPr>
          <w:rFonts w:ascii="Times New Roman" w:hAnsi="Times New Roman" w:eastAsia="Times New Roman"/>
          <w:b w:val="0"/>
          <w:i/>
          <w:color w:val="000000"/>
          <w:sz w:val="26"/>
        </w:rPr>
        <w:t>(tên dự án/công trình của dự án)</w:t>
      </w:r>
      <w:r>
        <w:rPr>
          <w:rFonts w:ascii="Times New Roman" w:hAnsi="Times New Roman" w:eastAsia="Times New Roman"/>
          <w:b w:val="0"/>
          <w:i w:val="0"/>
          <w:color w:val="000000"/>
          <w:sz w:val="26"/>
        </w:rPr>
        <w:t xml:space="preserve"> đủ điều kiện/chưa đủ điều kiện/chỉ đủ điều kiện sau khi hoàn thiện các nội dung yêu cầu để tổng hợp, trình phê duyệt và triển khai các bước tiếp theo.</w:t>
      </w:r>
    </w:p>
    <w:p>
      <w:pPr>
        <w:keepNext w:val="0"/>
        <w:widowControl/>
        <w:spacing w:after="120" w:before="0" w:line="312" w:lineRule="auto"/>
        <w:ind w:firstLine="720"/>
        <w:jc w:val="both"/>
      </w:pPr>
      <w:r>
        <w:rPr>
          <w:rFonts w:ascii="Times New Roman" w:hAnsi="Times New Roman" w:eastAsia="Times New Roman"/>
          <w:b w:val="0"/>
          <w:i w:val="0"/>
          <w:color w:val="000000"/>
          <w:sz w:val="26"/>
        </w:rPr>
        <w:t>2. Kiến nghị</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kiến nghị;</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Yêu cầu sửa đổi, bổ sung, hoàn thiện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Trên đây là thông báo của </w:t>
      </w:r>
      <w:r>
        <w:rPr>
          <w:rFonts w:ascii="Times New Roman" w:hAnsi="Times New Roman" w:eastAsia="Times New Roman"/>
          <w:b w:val="0"/>
          <w:i/>
          <w:color w:val="000000"/>
          <w:sz w:val="26"/>
        </w:rPr>
        <w:t>(cơ quan chuyên môn về xây dựng)</w:t>
      </w:r>
      <w:r>
        <w:rPr>
          <w:rFonts w:ascii="Times New Roman" w:hAnsi="Times New Roman" w:eastAsia="Times New Roman"/>
          <w:b w:val="0"/>
          <w:i w:val="0"/>
          <w:color w:val="000000"/>
          <w:sz w:val="26"/>
        </w:rPr>
        <w:t xml:space="preserve"> về kết quả thẩm định Báo cáo nghiên cứu khả thi </w:t>
      </w:r>
      <w:r>
        <w:rPr>
          <w:rFonts w:ascii="Times New Roman" w:hAnsi="Times New Roman" w:eastAsia="Times New Roman"/>
          <w:b w:val="0"/>
          <w:i/>
          <w:color w:val="000000"/>
          <w:sz w:val="26"/>
        </w:rPr>
        <w:t>(tên dự án/công trình của dự án).</w:t>
      </w:r>
      <w:r>
        <w:rPr>
          <w:rFonts w:ascii="Times New Roman" w:hAnsi="Times New Roman" w:eastAsia="Times New Roman"/>
          <w:b w:val="0"/>
          <w:i w:val="0"/>
          <w:color w:val="000000"/>
          <w:sz w:val="26"/>
        </w:rPr>
        <w:t xml:space="preserve"> Đề nghị </w:t>
      </w:r>
      <w:r>
        <w:rPr>
          <w:rFonts w:ascii="Times New Roman" w:hAnsi="Times New Roman" w:eastAsia="Times New Roman"/>
          <w:b w:val="0"/>
          <w:i/>
          <w:color w:val="000000"/>
          <w:sz w:val="26"/>
        </w:rPr>
        <w:t>(cơ quan chuẩn bị dự án)</w:t>
      </w:r>
      <w:r>
        <w:rPr>
          <w:rFonts w:ascii="Times New Roman" w:hAnsi="Times New Roman" w:eastAsia="Times New Roman"/>
          <w:b w:val="0"/>
          <w:i w:val="0"/>
          <w:color w:val="000000"/>
          <w:sz w:val="26"/>
        </w:rPr>
        <w:t xml:space="preserve"> nghiên cứu thực hiện theo quy định.</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Cơ quan quản lý nhà nước về xây dựng tại địa phương xây dựng dự án</w:t>
            </w:r>
            <w:r>
              <w:rPr>
                <w:rFonts w:ascii="Times New Roman" w:hAnsi="Times New Roman" w:eastAsia="Times New Roman"/>
                <w:b w:val="0"/>
                <w:i w:val="0"/>
                <w:color w:val="000000"/>
                <w:sz w:val="22"/>
                <w:vertAlign w:val="superscript"/>
              </w:rPr>
              <w:t>5</w:t>
            </w:r>
            <w:r>
              <w:rPr>
                <w:rFonts w:ascii="Times New Roman" w:hAnsi="Times New Roman" w:eastAsia="Times New Roman"/>
                <w:b w:val="0"/>
                <w:i w:val="0"/>
                <w:color w:val="000000"/>
                <w:sz w:val="22"/>
              </w:rPr>
              <w:t>;</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xml:space="preserve"> - ...;</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CƠ QUAN CHUYÊN MÔN VỀ XÂY DỰNG</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và tên, chức vụ và đóng dấu)</w:t>
            </w:r>
          </w:p>
        </w:tc>
      </w:tr>
    </w:tbl>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1</w:t>
      </w:r>
      <w:r>
        <w:rPr>
          <w:rFonts w:ascii="Times New Roman" w:hAnsi="Times New Roman" w:eastAsia="Times New Roman"/>
          <w:b w:val="0"/>
          <w:i w:val="0"/>
          <w:color w:val="000000"/>
          <w:sz w:val="22"/>
        </w:rPr>
        <w:t xml:space="preserve"> Là Cơ quan thường trực Hội đồng trong trường hợp trình thẩm định BCNCKT tại Hội đồng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2</w:t>
      </w:r>
      <w:r>
        <w:rPr>
          <w:rFonts w:ascii="Times New Roman" w:hAnsi="Times New Roman" w:eastAsia="Times New Roman"/>
          <w:b w:val="0"/>
          <w:i w:val="0"/>
          <w:color w:val="000000"/>
          <w:sz w:val="22"/>
        </w:rPr>
        <w:t xml:space="preserve"> Trường hợp trình thẩm định một hoặc một số công trình của dự án/dự án thành phần/phân kỳ đầu tư.</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3</w:t>
      </w:r>
      <w:r>
        <w:rPr>
          <w:rFonts w:ascii="Times New Roman" w:hAnsi="Times New Roman" w:eastAsia="Times New Roman"/>
          <w:b w:val="0"/>
          <w:i w:val="0"/>
          <w:color w:val="000000"/>
          <w:sz w:val="22"/>
        </w:rPr>
        <w:t xml:space="preserve"> Ghi thông tin về lô/ô đất,... trong trường hợp chỉ thẩm định đối với một hoặc một số 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4</w:t>
      </w:r>
      <w:r>
        <w:rPr>
          <w:rFonts w:ascii="Times New Roman" w:hAnsi="Times New Roman" w:eastAsia="Times New Roman"/>
          <w:b w:val="0"/>
          <w:i w:val="0"/>
          <w:color w:val="000000"/>
          <w:sz w:val="22"/>
        </w:rPr>
        <w:t xml:space="preserve"> Đối với công trình xây dựng theo tuyến theo quy định tại khoản 3 Điều 3 Nghị định này.</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 xml:space="preserve">5 </w:t>
      </w:r>
      <w:r>
        <w:rPr>
          <w:rFonts w:ascii="Times New Roman" w:hAnsi="Times New Roman" w:eastAsia="Times New Roman"/>
          <w:b w:val="0"/>
          <w:i w:val="0"/>
          <w:color w:val="000000"/>
          <w:sz w:val="22"/>
        </w:rPr>
        <w:t>Đối với trường hợp cơ quan chuẩn bị dự án đề nghị cơ quan chuyên môn về xây dựng thuộc Bộ quản lý công trình xây dựng chuyên ngành/cơ quan chuyên môn về xây dựng thuộc UBND cấp xã/Ban quản lý khu công nghiệp, khu chế xuất, khu công nghệ cao, khu kinh tế thực hiện thẩm định Báo cáo nghiên cứu khả thi của dự án</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03 – Thông báo thẩm định báo cáo nghiên cứu khả thi</dc:title>
  <dc:subject>Phụ lục I – 217/2026/NĐ-CP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