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175"/>
        <w:gridCol w:w="5896"/>
      </w:tblGrid>
      <w:tr>
        <w:trPr>
          <w:cantSplit/>
        </w:trPr>
        <w:tc>
          <w:tcPr>
            <w:tcW w:type="dxa" w:w="3175"/>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CƠ QUAN CHUẨN BỊ DỰ ÁN</w:t>
            </w:r>
            <w:bookmarkEnd w:id="1"/>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V/v thẩm định Báo cáo nghiên cứu khả thi (tên dự án)</w:t>
            </w:r>
          </w:p>
        </w:tc>
        <w:tc>
          <w:tcPr>
            <w:tcW w:type="dxa" w:w="5896"/>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color w:val="000000"/>
                <w:sz w:val="26"/>
              </w:rPr>
              <w:t>..., ngày ... tháng ... năm ....</w:t>
            </w:r>
            <w:bookmarkEnd w:id="3"/>
          </w:p>
        </w:tc>
      </w:tr>
    </w:tbl>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(Cơ quan/Đơn vị được người quyết định đầu tư giao thẩm định).</w:t>
      </w:r>
      <w:bookmarkEnd w:id="4"/>
    </w:p>
    <w:p>
      <w:pPr>
        <w:keepNext w:val="0"/>
        <w:widowControl/>
        <w:spacing w:after="120" w:before="0" w:line="312" w:lineRule="auto"/>
        <w:ind w:firstLine="720"/>
        <w:jc w:val="both"/>
      </w:pPr>
      <w:r>
        <w:rPr>
          <w:rFonts w:ascii="Times New Roman" w:hAnsi="Times New Roman" w:eastAsia="Times New Roman"/>
          <w:b w:val="0"/>
          <w:i w:val="0"/>
          <w:color w:val="000000"/>
          <w:sz w:val="26"/>
        </w:rPr>
        <w:t>Căn cứ Luật Xây dựng ngày ... tháng ... năm 2025;</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Nghị định số .../2026/NĐ-CP ngày ... tháng ... năm 2026 của Chính phủ quy định chi tiết một số điều của Luật Xây dựng về quản lý hoạt động xây dựng;</w:t>
      </w:r>
    </w:p>
    <w:p>
      <w:pPr>
        <w:keepNext w:val="0"/>
        <w:widowControl/>
        <w:spacing w:after="120" w:before="0" w:line="312" w:lineRule="auto"/>
        <w:ind w:firstLine="720"/>
        <w:jc w:val="left"/>
      </w:pPr>
      <w:r>
        <w:rPr>
          <w:rFonts w:ascii="Times New Roman" w:hAnsi="Times New Roman" w:eastAsia="Times New Roman"/>
          <w:b w:val="0"/>
          <w:i w:val="0"/>
          <w:color w:val="000000"/>
          <w:sz w:val="26"/>
        </w:rPr>
        <w:t>Các căn cứ pháp lý khác có liên quan ............................................................................</w:t>
      </w:r>
    </w:p>
    <w:p>
      <w:pPr>
        <w:keepNext w:val="0"/>
        <w:widowControl/>
        <w:spacing w:after="120" w:before="0" w:line="312" w:lineRule="auto"/>
        <w:ind w:firstLine="720"/>
        <w:jc w:val="both"/>
      </w:pP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xml:space="preserve"> trình </w:t>
      </w:r>
      <w:r>
        <w:rPr>
          <w:rFonts w:ascii="Times New Roman" w:hAnsi="Times New Roman" w:eastAsia="Times New Roman"/>
          <w:b w:val="0"/>
          <w:i/>
          <w:color w:val="000000"/>
          <w:sz w:val="26"/>
        </w:rPr>
        <w:t>(Cơ quan/Đơn vị được người quyết định đầu tư giao thẩm định)</w:t>
      </w:r>
      <w:r>
        <w:rPr>
          <w:rFonts w:ascii="Times New Roman" w:hAnsi="Times New Roman" w:eastAsia="Times New Roman"/>
          <w:b w:val="0"/>
          <w:i w:val="0"/>
          <w:color w:val="000000"/>
          <w:sz w:val="26"/>
        </w:rPr>
        <w:t xml:space="preserve"> thẩm định Báo cáo nghiên cứu khả thi </w:t>
      </w:r>
      <w:r>
        <w:rPr>
          <w:rFonts w:ascii="Times New Roman" w:hAnsi="Times New Roman" w:eastAsia="Times New Roman"/>
          <w:b w:val="0"/>
          <w:i/>
          <w:color w:val="000000"/>
          <w:sz w:val="26"/>
        </w:rPr>
        <w:t>(tên dự án/công trình của dự án)</w:t>
      </w:r>
      <w:r>
        <w:rPr>
          <w:rFonts w:ascii="Times New Roman" w:hAnsi="Times New Roman" w:eastAsia="Times New Roman"/>
          <w:b w:val="0"/>
          <w:i w:val="0"/>
          <w:color w:val="000000"/>
          <w:sz w:val="26"/>
        </w:rPr>
        <w:t xml:space="preserve"> với các nội dung chính sau:</w:t>
      </w:r>
    </w:p>
    <w:p>
      <w:pPr>
        <w:keepNext/>
        <w:widowControl/>
        <w:spacing w:after="120" w:before="80" w:line="312" w:lineRule="auto"/>
        <w:ind w:firstLine="0"/>
        <w:jc w:val="both"/>
      </w:pPr>
      <w:r>
        <w:rPr>
          <w:rFonts w:ascii="Times New Roman" w:hAnsi="Times New Roman" w:eastAsia="Times New Roman"/>
          <w:b/>
          <w:i w:val="0"/>
          <w:color w:val="000000"/>
          <w:sz w:val="26"/>
        </w:rPr>
        <w:t>I. THÔNG TIN CHUNG DỰ ÁN</w:t>
      </w:r>
    </w:p>
    <w:p>
      <w:pPr>
        <w:keepNext w:val="0"/>
        <w:widowControl/>
        <w:spacing w:after="120" w:before="0" w:line="312" w:lineRule="auto"/>
        <w:ind w:firstLine="720"/>
        <w:jc w:val="both"/>
      </w:pPr>
      <w:bookmarkStart w:id="5" w:name="buildsia_project"/>
      <w:r>
        <w:rPr>
          <w:rFonts w:ascii="Times New Roman" w:hAnsi="Times New Roman" w:eastAsia="Times New Roman"/>
          <w:b w:val="0"/>
          <w:i w:val="0"/>
          <w:color w:val="000000"/>
          <w:sz w:val="26"/>
        </w:rPr>
        <w:t>1. Tên dự án:</w:t>
      </w:r>
      <w:bookmarkEnd w:id="5"/>
    </w:p>
    <w:p>
      <w:pPr>
        <w:keepNext w:val="0"/>
        <w:widowControl/>
        <w:spacing w:after="120" w:before="0" w:line="312" w:lineRule="auto"/>
        <w:ind w:firstLine="720"/>
        <w:jc w:val="both"/>
      </w:pPr>
      <w:r>
        <w:rPr>
          <w:rFonts w:ascii="Times New Roman" w:hAnsi="Times New Roman" w:eastAsia="Times New Roman"/>
          <w:b w:val="0"/>
          <w:i w:val="0"/>
          <w:color w:val="000000"/>
          <w:sz w:val="26"/>
        </w:rPr>
        <w:t>2. Nhóm dự án, loại và cấp công trình chính của dự án; thời hạn sử dụng của công trình chính theo thiết kế:</w:t>
      </w:r>
    </w:p>
    <w:p>
      <w:pPr>
        <w:keepNext w:val="0"/>
        <w:widowControl/>
        <w:spacing w:after="120" w:before="0" w:line="312" w:lineRule="auto"/>
        <w:ind w:firstLine="720"/>
        <w:jc w:val="both"/>
      </w:pPr>
      <w:r>
        <w:rPr>
          <w:rFonts w:ascii="Times New Roman" w:hAnsi="Times New Roman" w:eastAsia="Times New Roman"/>
          <w:b w:val="0"/>
          <w:i w:val="0"/>
          <w:color w:val="000000"/>
          <w:sz w:val="26"/>
        </w:rPr>
        <w:t>3. Mã định danh:</w:t>
      </w:r>
    </w:p>
    <w:p>
      <w:pPr>
        <w:keepNext w:val="0"/>
        <w:widowControl/>
        <w:spacing w:after="120" w:before="0" w:line="312" w:lineRule="auto"/>
        <w:ind w:firstLine="720"/>
        <w:jc w:val="both"/>
      </w:pPr>
      <w:r>
        <w:rPr>
          <w:rFonts w:ascii="Times New Roman" w:hAnsi="Times New Roman" w:eastAsia="Times New Roman"/>
          <w:b w:val="0"/>
          <w:i w:val="0"/>
          <w:color w:val="000000"/>
          <w:sz w:val="26"/>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5. Phạm vi trình thẩm định (toàn bộ dự án hoặc từng dự án thành phần hoặc theo phân kỳ đầu tư theo giai đoạn thực hiện đối với một hoặc một số công trình của dự án); loại và cấp công trình trình thẩm định, thời hạn sử dụng của công trình trình thẩm định theo thiết kế</w:t>
      </w:r>
      <w:r>
        <w:rPr>
          <w:rFonts w:ascii="Times New Roman" w:hAnsi="Times New Roman" w:eastAsia="Times New Roman"/>
          <w:b w:val="0"/>
          <w:i w:val="0"/>
          <w:color w:val="000000"/>
          <w:sz w:val="26"/>
          <w:vertAlign w:val="superscript"/>
        </w:rPr>
        <w:t>1</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6. Người quyết định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7. Tên cơ quan chuẩn bị dự án và các thông tin để liên hệ (địa chỉ, điện thoại,...):</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8. Địa điểm xây dựng dự án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 xml:space="preserve"> vị trí xây dựng công trình trình thẩm định</w:t>
      </w:r>
      <w:r>
        <w:rPr>
          <w:rFonts w:ascii="Times New Roman" w:hAnsi="Times New Roman" w:eastAsia="Times New Roman"/>
          <w:b w:val="0"/>
          <w:i w:val="0"/>
          <w:color w:val="000000"/>
          <w:sz w:val="26"/>
          <w:vertAlign w:val="superscript"/>
        </w:rPr>
        <w:t>2</w:t>
      </w:r>
      <w:r>
        <w:rPr>
          <w:rFonts w:ascii="Times New Roman" w:hAnsi="Times New Roman" w:eastAsia="Times New Roman"/>
          <w:b w:val="0"/>
          <w:i w:val="0"/>
          <w:color w:val="000000"/>
          <w:sz w:val="26"/>
        </w:rPr>
        <w:t>; điểm đầu, điểm cuối và tóm tắt hướng tuyến công trình, một số điểm khống chế</w:t>
      </w:r>
      <w:r>
        <w:rPr>
          <w:rFonts w:ascii="Times New Roman" w:hAnsi="Times New Roman" w:eastAsia="Times New Roman"/>
          <w:b w:val="0"/>
          <w:i w:val="0"/>
          <w:color w:val="000000"/>
          <w:sz w:val="26"/>
          <w:vertAlign w:val="superscript"/>
        </w:rPr>
        <w:t>3</w:t>
      </w:r>
      <w:r>
        <w:rPr>
          <w:rFonts w:ascii="Times New Roman" w:hAnsi="Times New Roman" w:eastAsia="Times New Roman"/>
          <w:b w:val="0"/>
          <w:i w:val="0"/>
          <w:color w:val="000000"/>
          <w:sz w:val="26"/>
        </w:rPr>
        <w:t xml:space="preserve">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 diện tích sử dụng đất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9. Giá trị tổng mức đầu tư xây dựng của dự án; chi phí đầu tư hạng mục công trình trình thẩm định (trường hợp thẩm định đối với một hoặc một số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10. Nguồn vốn đầu tư: (xác định và ghi rõ: vốn đầu tư công/vốn chi thường xuyên từ ngân sách nhà nước/vốn ngân sách nhà nước khác/vốn khác/thực hiện theo phương thức PPP)</w:t>
      </w:r>
    </w:p>
    <w:p>
      <w:pPr>
        <w:keepNext w:val="0"/>
        <w:widowControl/>
        <w:spacing w:after="120" w:before="0" w:line="312" w:lineRule="auto"/>
        <w:ind w:firstLine="720"/>
        <w:jc w:val="both"/>
      </w:pPr>
      <w:r>
        <w:rPr>
          <w:rFonts w:ascii="Times New Roman" w:hAnsi="Times New Roman" w:eastAsia="Times New Roman"/>
          <w:b w:val="0"/>
          <w:i w:val="0"/>
          <w:color w:val="000000"/>
          <w:sz w:val="26"/>
        </w:rPr>
        <w:t>11. Thời gian thực hiện dự án; phân kỳ đầu tư (nếu có); thời hạn hoạt động của dự án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12. Quy chuẩn kỹ thuật, tiêu chuẩn áp dụng: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13. Nhà thầu tư vấn lập Báo cáo nghiên cứu khả thi; nhà thầu lập thiết kế cơ sở/thiết kế FEED/thiết kế kỹ thuật trong Báo cáo nghiên cứu khả thi: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14. Nhà thầu khảo sát xây dựng: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15. Nhà thầu thẩm tra thiết kế (nếu có):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16. Các thông tin khác (nếu có):</w:t>
      </w:r>
    </w:p>
    <w:p>
      <w:pPr>
        <w:keepNext/>
        <w:widowControl/>
        <w:spacing w:after="120" w:before="80" w:line="312" w:lineRule="auto"/>
        <w:ind w:firstLine="0"/>
        <w:jc w:val="both"/>
      </w:pPr>
      <w:r>
        <w:rPr>
          <w:rFonts w:ascii="Times New Roman" w:hAnsi="Times New Roman" w:eastAsia="Times New Roman"/>
          <w:b/>
          <w:i w:val="0"/>
          <w:color w:val="000000"/>
          <w:sz w:val="26"/>
        </w:rPr>
        <w:t>II. DANH MỤC HỒ SƠ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1. Văn bản pháp lý:</w:t>
      </w:r>
    </w:p>
    <w:p>
      <w:pPr>
        <w:keepNext w:val="0"/>
        <w:widowControl/>
        <w:spacing w:after="120" w:before="0" w:line="312" w:lineRule="auto"/>
        <w:ind w:firstLine="720"/>
        <w:jc w:val="both"/>
      </w:pPr>
      <w:r>
        <w:rPr>
          <w:rFonts w:ascii="Times New Roman" w:hAnsi="Times New Roman" w:eastAsia="Times New Roman"/>
          <w:b w:val="0"/>
          <w:i/>
          <w:color w:val="000000"/>
          <w:sz w:val="26"/>
        </w:rPr>
        <w:t>(Liệt kê các văn bản pháp lý có liên quan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2. Tài liệu khảo sát xây dựng, thiết kế xây dựng, tổng mức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khảo sát xây dựng phục vụ lập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Thuyết minh Báo cáo nghiên cứu khả thi (theo quy định tại khoản 2 Điều 24 Luật Xây dựng năm 2025; danh mục quy chuẩn kỹ thuật, tiêu chuẩn áp dụng);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Thiết kế cơ sở/thiết kế FEED/thiết kế kỹ thuật (bao gồm bản vẽ và thuyết minh) trong Báo cáo nghiên cứu khả thi;</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Báo cáo kết quả thẩm tra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 xml:space="preserve">Văn bản thông báo kết quả thẩm định Báo cáo nghiên cứu khả thi </w:t>
      </w:r>
      <w:r>
        <w:rPr>
          <w:rFonts w:ascii="Times New Roman" w:hAnsi="Times New Roman" w:eastAsia="Times New Roman"/>
          <w:b w:val="0"/>
          <w:i/>
          <w:color w:val="000000"/>
          <w:sz w:val="26"/>
        </w:rPr>
        <w:t>(tên dự án/công trình của dự án)</w:t>
      </w:r>
      <w:r>
        <w:rPr>
          <w:rFonts w:ascii="Times New Roman" w:hAnsi="Times New Roman" w:eastAsia="Times New Roman"/>
          <w:b w:val="0"/>
          <w:i/>
          <w:color w:val="000000"/>
          <w:sz w:val="26"/>
        </w:rPr>
        <w:t xml:space="preserve"> của</w:t>
      </w:r>
      <w:r>
        <w:rPr>
          <w:rFonts w:ascii="Times New Roman" w:hAnsi="Times New Roman" w:eastAsia="Times New Roman"/>
          <w:b w:val="0"/>
          <w:i/>
          <w:color w:val="000000"/>
          <w:sz w:val="26"/>
        </w:rPr>
        <w:t xml:space="preserve"> (cơ quan chuyên môn về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3. Hồ sơ pháp lý của các nhà thầu tư vấn và hồ sơ năng lực của các cá nhân tham gia thực hiện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pháp lý: Giấy chứng nhận đăng ký kinh doanh (hoặc tương đương); Mã số chứng chỉ năng lực hoạt động xây dựng (nếu có) của nhà thầu khảo sát xây dựng, nhà thầu tư vấn lập thiết kế cơ sở/thiết kế FEED/thiết kế kỹ thuật, nhà thầu thẩm tra thiết kế xây dựng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năng lực: Mã số chứng chỉ hành nghề hoạt động xây dựng của các chức danh chủ nhiệm khảo sát xây dựng; chủ nhiệm, chủ trì các bộ môn thiết kế; chủ nhiệm, chủ trì các bộ môn thẩm tra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Giấy phép hoạt động xây dựng của nhà thầu tư vấn nước ngoài (nếu có).</w:t>
      </w:r>
    </w:p>
    <w:p>
      <w:pPr>
        <w:keepNext w:val="0"/>
        <w:widowControl/>
        <w:spacing w:after="120" w:before="0" w:line="312" w:lineRule="auto"/>
        <w:ind w:firstLine="720"/>
        <w:jc w:val="both"/>
      </w:pP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xml:space="preserve"> trình </w:t>
      </w:r>
      <w:r>
        <w:rPr>
          <w:rFonts w:ascii="Times New Roman" w:hAnsi="Times New Roman" w:eastAsia="Times New Roman"/>
          <w:b w:val="0"/>
          <w:i/>
          <w:color w:val="000000"/>
          <w:sz w:val="26"/>
        </w:rPr>
        <w:t>(Cơ quan/Đơn vị được người quyết định đầu tư giao thẩm định)</w:t>
      </w:r>
      <w:r>
        <w:rPr>
          <w:rFonts w:ascii="Times New Roman" w:hAnsi="Times New Roman" w:eastAsia="Times New Roman"/>
          <w:b w:val="0"/>
          <w:i w:val="0"/>
          <w:color w:val="000000"/>
          <w:sz w:val="26"/>
        </w:rPr>
        <w:t xml:space="preserve"> thẩm định Báo cáo nghiên cứu khả thi </w:t>
      </w:r>
      <w:r>
        <w:rPr>
          <w:rFonts w:ascii="Times New Roman" w:hAnsi="Times New Roman" w:eastAsia="Times New Roman"/>
          <w:b w:val="0"/>
          <w:i/>
          <w:color w:val="000000"/>
          <w:sz w:val="26"/>
        </w:rPr>
        <w:t>(tên dự án/công trình của dự án)</w:t>
      </w:r>
      <w:r>
        <w:rPr>
          <w:rFonts w:ascii="Times New Roman" w:hAnsi="Times New Roman" w:eastAsia="Times New Roman"/>
          <w:b w:val="0"/>
          <w:i w:val="0"/>
          <w:color w:val="000000"/>
          <w:sz w:val="26"/>
        </w:rPr>
        <w:t xml:space="preserve"> với các nội dung nêu trên.</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CƠ QUAN CHUẨN BỊ DỰ ÁN</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và tên, chức vụ và đóng dấu)</w:t>
            </w:r>
          </w:p>
        </w:tc>
      </w:tr>
    </w:tbl>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1</w:t>
      </w:r>
      <w:r>
        <w:rPr>
          <w:rFonts w:ascii="Times New Roman" w:hAnsi="Times New Roman" w:eastAsia="Times New Roman"/>
          <w:b w:val="0"/>
          <w:i w:val="0"/>
          <w:color w:val="000000"/>
          <w:sz w:val="22"/>
        </w:rPr>
        <w:t xml:space="preserve"> Trường hợp trình thẩm định một hoặc một số công trình của dự án/dự án thành phần/phân kỳ đầu tư.</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2</w:t>
      </w:r>
      <w:r>
        <w:rPr>
          <w:rFonts w:ascii="Times New Roman" w:hAnsi="Times New Roman" w:eastAsia="Times New Roman"/>
          <w:b w:val="0"/>
          <w:i w:val="0"/>
          <w:color w:val="000000"/>
          <w:sz w:val="22"/>
        </w:rPr>
        <w:t xml:space="preserve"> Ghi thông tin về lô/ô đất,... trong trường hợp chỉ thẩm định đối với một hoặc một số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3</w:t>
      </w:r>
      <w:r>
        <w:rPr>
          <w:rFonts w:ascii="Times New Roman" w:hAnsi="Times New Roman" w:eastAsia="Times New Roman"/>
          <w:b w:val="0"/>
          <w:i w:val="0"/>
          <w:color w:val="000000"/>
          <w:sz w:val="22"/>
        </w:rPr>
        <w:t xml:space="preserve"> Đối với công trình xây dựng theo tuyến theo quy định tại khoản 3 Điều 3 Nghị định này.</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05 – Đề nghị thẩm định báo cáo nghiên cứu khả thi</dc:title>
  <dc:subject>Phụ lục I – 217/2026/NĐ-CP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