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3175"/>
        <w:gridCol w:w="5896"/>
      </w:tblGrid>
      <w:tr>
        <w:trPr>
          <w:cantSplit/>
        </w:trPr>
        <w:tc>
          <w:tcPr>
            <w:tcW w:type="dxa" w:w="3175"/>
            <w:vAlign w:val="top"/>
          </w:tcPr>
          <w:p>
            <w:pPr>
              <w:keepNext w:val="0"/>
              <w:widowControl/>
              <w:spacing w:after="120" w:before="0" w:line="264" w:lineRule="auto"/>
              <w:ind w:firstLine="0"/>
              <w:jc w:val="center"/>
            </w:pPr>
            <w:bookmarkStart w:id="1" w:name="buildsia_agency"/>
            <w:r>
              <w:rPr>
                <w:rFonts w:ascii="Times New Roman" w:hAnsi="Times New Roman" w:eastAsia="Times New Roman"/>
                <w:b/>
                <w:i w:val="0"/>
                <w:color w:val="000000"/>
                <w:sz w:val="26"/>
              </w:rPr>
              <w:t>CƠ QUAN/TỔ CHỨC PHÊ DUYỆT</w:t>
            </w:r>
            <w:bookmarkEnd w:id="1"/>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t>______</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t xml:space="preserve">Số: </w:t>
            </w:r>
            <w:bookmarkStart w:id="2" w:name="buildsia_number"/>
            <w:r>
              <w:rPr>
                <w:rFonts w:ascii="Times New Roman" w:hAnsi="Times New Roman" w:eastAsia="Times New Roman"/>
                <w:b w:val="0"/>
                <w:i w:val="0"/>
                <w:color w:val="000000"/>
                <w:sz w:val="26"/>
              </w:rPr>
              <w:t>...</w:t>
            </w:r>
            <w:bookmarkEnd w:id="2"/>
          </w:p>
        </w:tc>
        <w:tc>
          <w:tcPr>
            <w:tcW w:type="dxa" w:w="5896"/>
            <w:vAlign w:val="top"/>
          </w:tcPr>
          <w:p>
            <w:pPr>
              <w:keepNext w:val="0"/>
              <w:widowControl/>
              <w:spacing w:after="120" w:before="0" w:line="264" w:lineRule="auto"/>
              <w:ind w:firstLine="0"/>
              <w:jc w:val="center"/>
            </w:pPr>
            <w:r>
              <w:rPr>
                <w:rFonts w:ascii="Times New Roman" w:hAnsi="Times New Roman" w:eastAsia="Times New Roman"/>
                <w:b/>
                <w:i w:val="0"/>
                <w:color w:val="000000"/>
                <w:sz w:val="24"/>
              </w:rPr>
              <w:t>CỘNG HÒA XÃ HỘI CHỦ NGHĨA VIỆT NAM</w:t>
            </w:r>
            <w:r>
              <w:rPr>
                <w:rFonts w:ascii="Times New Roman" w:hAnsi="Times New Roman" w:eastAsia="Times New Roman"/>
                <w:b/>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i w:val="0"/>
                <w:color w:val="000000"/>
                <w:sz w:val="26"/>
              </w:rPr>
            </w:r>
            <w:r>
              <w:rPr>
                <w:rFonts w:ascii="Times New Roman" w:hAnsi="Times New Roman" w:eastAsia="Times New Roman"/>
                <w:b/>
                <w:i w:val="0"/>
                <w:color w:val="000000"/>
                <w:sz w:val="26"/>
              </w:rPr>
              <w:t>Độc lập - Tự do - Hạnh phúc</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t>_______________________</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bookmarkStart w:id="3" w:name="buildsia_date"/>
            <w:r>
              <w:rPr>
                <w:rFonts w:ascii="Times New Roman" w:hAnsi="Times New Roman" w:eastAsia="Times New Roman"/>
                <w:b w:val="0"/>
                <w:i/>
                <w:color w:val="000000"/>
                <w:sz w:val="26"/>
              </w:rPr>
              <w:t>... , ngày ... tháng ... năm ...</w:t>
            </w:r>
            <w:bookmarkEnd w:id="3"/>
          </w:p>
        </w:tc>
      </w:tr>
    </w:tbl>
    <w:p>
      <w:pPr>
        <w:keepNext w:val="0"/>
        <w:widowControl/>
        <w:spacing w:after="120" w:before="0" w:line="312" w:lineRule="auto"/>
        <w:ind w:firstLine="0"/>
        <w:jc w:val="center"/>
      </w:pPr>
      <w:r>
        <w:rPr>
          <w:rFonts w:ascii="Times New Roman" w:hAnsi="Times New Roman" w:eastAsia="Times New Roman"/>
          <w:b/>
          <w:i w:val="0"/>
          <w:color w:val="000000"/>
          <w:sz w:val="26"/>
        </w:rPr>
        <w:t>QUYẾT ĐỊNH</w:t>
      </w:r>
    </w:p>
    <w:p>
      <w:pPr>
        <w:keepNext w:val="0"/>
        <w:widowControl/>
        <w:spacing w:after="120" w:before="0" w:line="312" w:lineRule="auto"/>
        <w:ind w:firstLine="0"/>
        <w:jc w:val="center"/>
      </w:pPr>
      <w:r>
        <w:rPr>
          <w:rFonts w:ascii="Times New Roman" w:hAnsi="Times New Roman" w:eastAsia="Times New Roman"/>
          <w:b/>
          <w:i w:val="0"/>
          <w:color w:val="000000"/>
          <w:sz w:val="26"/>
        </w:rPr>
        <w:t>Phê duyệt thiết kế xây dựng triển khai sau khi dự án được phê duyệt</w:t>
      </w:r>
      <w:r>
        <w:rPr>
          <w:rFonts w:ascii="Times New Roman" w:hAnsi="Times New Roman" w:eastAsia="Times New Roman"/>
          <w:b/>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i w:val="0"/>
          <w:color w:val="000000"/>
          <w:sz w:val="26"/>
        </w:rPr>
      </w:r>
      <w:r>
        <w:rPr>
          <w:rFonts w:ascii="Times New Roman" w:hAnsi="Times New Roman" w:eastAsia="Times New Roman"/>
          <w:b/>
          <w:i w:val="0"/>
          <w:color w:val="000000"/>
          <w:sz w:val="26"/>
        </w:rPr>
        <w:t>__________</w:t>
      </w:r>
    </w:p>
    <w:p>
      <w:pPr>
        <w:keepNext w:val="0"/>
        <w:widowControl/>
        <w:spacing w:after="120" w:before="0" w:line="312" w:lineRule="auto"/>
        <w:ind w:firstLine="0"/>
        <w:jc w:val="center"/>
      </w:pPr>
      <w:r>
        <w:rPr>
          <w:rFonts w:ascii="Times New Roman" w:hAnsi="Times New Roman" w:eastAsia="Times New Roman"/>
          <w:b/>
          <w:i w:val="0"/>
          <w:color w:val="000000"/>
          <w:sz w:val="26"/>
        </w:rPr>
        <w:t>CƠ QUAN/TỔ CHỨC PHÊ DUYỆT</w:t>
      </w:r>
    </w:p>
    <w:p>
      <w:pPr>
        <w:keepNext w:val="0"/>
        <w:widowControl/>
        <w:spacing w:after="120" w:before="0" w:line="312" w:lineRule="auto"/>
        <w:ind w:firstLine="720"/>
        <w:jc w:val="both"/>
      </w:pPr>
      <w:r>
        <w:rPr>
          <w:rFonts w:ascii="Times New Roman" w:hAnsi="Times New Roman" w:eastAsia="Times New Roman"/>
          <w:b w:val="0"/>
          <w:i/>
          <w:color w:val="000000"/>
          <w:sz w:val="26"/>
        </w:rPr>
        <w:t>Căn cứ Luật Xây dựng ngày ... tháng ... năm 2025;</w:t>
      </w:r>
    </w:p>
    <w:p>
      <w:pPr>
        <w:keepNext w:val="0"/>
        <w:widowControl/>
        <w:spacing w:after="120" w:before="0" w:line="312" w:lineRule="auto"/>
        <w:ind w:firstLine="720"/>
        <w:jc w:val="both"/>
      </w:pPr>
      <w:r>
        <w:rPr>
          <w:rFonts w:ascii="Times New Roman" w:hAnsi="Times New Roman" w:eastAsia="Times New Roman"/>
          <w:b w:val="0"/>
          <w:i/>
          <w:color w:val="000000"/>
          <w:sz w:val="26"/>
        </w:rPr>
        <w:t>Căn cứ Nghị định số ......./2026/NĐ-CP ngày... tháng .... năm 2026 của Chính phủ quy định chi tiết một số điều của Luật Xây dựng về quản lý hoạt động xây dựng;</w:t>
      </w:r>
    </w:p>
    <w:p>
      <w:pPr>
        <w:keepNext w:val="0"/>
        <w:widowControl/>
        <w:spacing w:after="120" w:before="0" w:line="312" w:lineRule="auto"/>
        <w:ind w:firstLine="720"/>
        <w:jc w:val="both"/>
      </w:pPr>
      <w:r>
        <w:rPr>
          <w:rFonts w:ascii="Times New Roman" w:hAnsi="Times New Roman" w:eastAsia="Times New Roman"/>
          <w:b w:val="0"/>
          <w:i/>
          <w:color w:val="000000"/>
          <w:sz w:val="26"/>
        </w:rPr>
        <w:t>Các căn cứ pháp lý khác có liên quan;</w:t>
      </w:r>
    </w:p>
    <w:p>
      <w:pPr>
        <w:keepNext w:val="0"/>
        <w:widowControl/>
        <w:spacing w:after="120" w:before="0" w:line="312" w:lineRule="auto"/>
        <w:ind w:firstLine="720"/>
        <w:jc w:val="both"/>
      </w:pPr>
      <w:r>
        <w:rPr>
          <w:rFonts w:ascii="Times New Roman" w:hAnsi="Times New Roman" w:eastAsia="Times New Roman"/>
          <w:b w:val="0"/>
          <w:i/>
          <w:color w:val="000000"/>
          <w:sz w:val="26"/>
        </w:rPr>
        <w:t>Căn cứ Thông báo kết quả thẩm định số....</w:t>
      </w:r>
    </w:p>
    <w:p>
      <w:pPr>
        <w:keepNext w:val="0"/>
        <w:widowControl/>
        <w:spacing w:after="120" w:before="0" w:line="312" w:lineRule="auto"/>
        <w:ind w:firstLine="720"/>
        <w:jc w:val="both"/>
      </w:pPr>
      <w:r>
        <w:rPr>
          <w:rFonts w:ascii="Times New Roman" w:hAnsi="Times New Roman" w:eastAsia="Times New Roman"/>
          <w:b w:val="0"/>
          <w:i/>
          <w:color w:val="000000"/>
          <w:sz w:val="26"/>
        </w:rPr>
        <w:t>Theo đề nghị của .... tại Tờ trình số... ngày... tháng... năm... và Thông báo kết quả thẩm định số... ngày... tháng... năm ... của...</w:t>
      </w:r>
    </w:p>
    <w:p>
      <w:pPr>
        <w:keepNext w:val="0"/>
        <w:widowControl/>
        <w:spacing w:after="120" w:before="0" w:line="312" w:lineRule="auto"/>
        <w:ind w:firstLine="720"/>
        <w:jc w:val="both"/>
      </w:pPr>
      <w:r>
        <w:rPr>
          <w:rFonts w:ascii="Times New Roman" w:hAnsi="Times New Roman" w:eastAsia="Times New Roman"/>
          <w:b/>
          <w:i w:val="0"/>
          <w:color w:val="000000"/>
          <w:sz w:val="26"/>
        </w:rPr>
        <w:t>QUYẾT ĐỊNH:</w:t>
      </w:r>
    </w:p>
    <w:p>
      <w:pPr>
        <w:keepNext w:val="0"/>
        <w:widowControl/>
        <w:spacing w:after="120" w:before="0" w:line="312" w:lineRule="auto"/>
        <w:ind w:firstLine="720"/>
        <w:jc w:val="both"/>
      </w:pPr>
      <w:r>
        <w:rPr>
          <w:rFonts w:ascii="Times New Roman" w:hAnsi="Times New Roman" w:eastAsia="Times New Roman"/>
          <w:b/>
          <w:i w:val="0"/>
          <w:color w:val="000000"/>
          <w:sz w:val="26"/>
        </w:rPr>
        <w:t>Điều 1.</w:t>
      </w:r>
      <w:r>
        <w:rPr>
          <w:rFonts w:ascii="Times New Roman" w:hAnsi="Times New Roman" w:eastAsia="Times New Roman"/>
          <w:b w:val="0"/>
          <w:i w:val="0"/>
          <w:color w:val="000000"/>
          <w:sz w:val="26"/>
        </w:rPr>
        <w:t xml:space="preserve"> Phê duyệt thiết kế xây dựng triển khai sau khi dự án được phê duyệt (tên công trình) với các nội dung chủ yếu như sau:</w:t>
      </w:r>
    </w:p>
    <w:p>
      <w:pPr>
        <w:keepNext w:val="0"/>
        <w:widowControl/>
        <w:spacing w:after="120" w:before="0" w:line="312" w:lineRule="auto"/>
        <w:ind w:firstLine="720"/>
        <w:jc w:val="both"/>
      </w:pPr>
      <w:r>
        <w:rPr>
          <w:rFonts w:ascii="Times New Roman" w:hAnsi="Times New Roman" w:eastAsia="Times New Roman"/>
          <w:b w:val="0"/>
          <w:i w:val="0"/>
          <w:color w:val="000000"/>
          <w:sz w:val="26"/>
        </w:rPr>
        <w:t>1. Người phê duyệt:</w:t>
      </w:r>
    </w:p>
    <w:p>
      <w:pPr>
        <w:keepNext w:val="0"/>
        <w:widowControl/>
        <w:spacing w:after="120" w:before="0" w:line="312" w:lineRule="auto"/>
        <w:ind w:firstLine="720"/>
        <w:jc w:val="both"/>
      </w:pPr>
      <w:r>
        <w:rPr>
          <w:rFonts w:ascii="Times New Roman" w:hAnsi="Times New Roman" w:eastAsia="Times New Roman"/>
          <w:b w:val="0"/>
          <w:i w:val="0"/>
          <w:color w:val="000000"/>
          <w:sz w:val="26"/>
        </w:rPr>
        <w:t>2. Tên công trình hoặc từng phần công trình:</w:t>
      </w:r>
    </w:p>
    <w:p>
      <w:pPr>
        <w:keepNext w:val="0"/>
        <w:widowControl/>
        <w:spacing w:after="120" w:before="0" w:line="312" w:lineRule="auto"/>
        <w:ind w:firstLine="720"/>
        <w:jc w:val="both"/>
      </w:pPr>
      <w:r>
        <w:rPr>
          <w:rFonts w:ascii="Times New Roman" w:hAnsi="Times New Roman" w:eastAsia="Times New Roman"/>
          <w:b w:val="0"/>
          <w:i w:val="0"/>
          <w:color w:val="000000"/>
          <w:sz w:val="26"/>
        </w:rPr>
        <w:t>3. Mã định danh công trình xây dựng (theo quy định của Chính phủ về điều kiện năng lực hoạt động xây dựng, Hệ thống thông tin, Cơ sở dữ liệu quốc gia về hoạt động xây dựng):</w:t>
      </w:r>
    </w:p>
    <w:p>
      <w:pPr>
        <w:keepNext w:val="0"/>
        <w:widowControl/>
        <w:spacing w:after="120" w:before="0" w:line="312" w:lineRule="auto"/>
        <w:ind w:firstLine="720"/>
        <w:jc w:val="both"/>
      </w:pPr>
      <w:r>
        <w:rPr>
          <w:rFonts w:ascii="Times New Roman" w:hAnsi="Times New Roman" w:eastAsia="Times New Roman"/>
          <w:b w:val="0"/>
          <w:i w:val="0"/>
          <w:color w:val="000000"/>
          <w:sz w:val="26"/>
        </w:rPr>
        <w:t>4. Loại, cấp công trình</w:t>
      </w:r>
      <w:r>
        <w:rPr>
          <w:rFonts w:ascii="Times New Roman" w:hAnsi="Times New Roman" w:eastAsia="Times New Roman"/>
          <w:b w:val="0"/>
          <w:i w:val="0"/>
          <w:color w:val="000000"/>
          <w:sz w:val="26"/>
          <w:vertAlign w:val="superscript"/>
        </w:rPr>
        <w:t>1</w:t>
      </w:r>
      <w:r>
        <w:rPr>
          <w:rFonts w:ascii="Times New Roman" w:hAnsi="Times New Roman" w:eastAsia="Times New Roman"/>
          <w:b w:val="0"/>
          <w:i w:val="0"/>
          <w:color w:val="000000"/>
          <w:sz w:val="26"/>
        </w:rPr>
        <w:t>:</w:t>
      </w:r>
    </w:p>
    <w:p>
      <w:pPr>
        <w:keepNext w:val="0"/>
        <w:widowControl/>
        <w:spacing w:after="120" w:before="0" w:line="312" w:lineRule="auto"/>
        <w:ind w:firstLine="720"/>
        <w:jc w:val="both"/>
      </w:pPr>
      <w:r>
        <w:rPr>
          <w:rFonts w:ascii="Times New Roman" w:hAnsi="Times New Roman" w:eastAsia="Times New Roman"/>
          <w:b w:val="0"/>
          <w:i w:val="0"/>
          <w:color w:val="000000"/>
          <w:sz w:val="26"/>
        </w:rPr>
        <w:t>5. Tên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6. Địa điểm xây dựng:</w:t>
      </w:r>
    </w:p>
    <w:p>
      <w:pPr>
        <w:keepNext w:val="0"/>
        <w:widowControl/>
        <w:spacing w:after="120" w:before="0" w:line="312" w:lineRule="auto"/>
        <w:ind w:firstLine="720"/>
        <w:jc w:val="both"/>
      </w:pPr>
      <w:r>
        <w:rPr>
          <w:rFonts w:ascii="Times New Roman" w:hAnsi="Times New Roman" w:eastAsia="Times New Roman"/>
          <w:b w:val="0"/>
          <w:i w:val="0"/>
          <w:color w:val="000000"/>
          <w:sz w:val="26"/>
        </w:rPr>
        <w:t>7. Nhà thầu khảo sát xây dựng:</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8. Nhà thầu thiết kế xây dựng: </w:t>
      </w:r>
      <w:r>
        <w:rPr>
          <w:rFonts w:ascii="Times New Roman" w:hAnsi="Times New Roman" w:eastAsia="Times New Roman"/>
          <w:b w:val="0"/>
          <w:i/>
          <w:color w:val="000000"/>
          <w:sz w:val="26"/>
        </w:rPr>
        <w:t>(tên nhà thầu, mã số doanh nghiệp)</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9. Nhà thầu thẩm tra thiết kế: </w:t>
      </w:r>
      <w:r>
        <w:rPr>
          <w:rFonts w:ascii="Times New Roman" w:hAnsi="Times New Roman" w:eastAsia="Times New Roman"/>
          <w:b w:val="0"/>
          <w:i/>
          <w:color w:val="000000"/>
          <w:sz w:val="26"/>
        </w:rPr>
        <w:t>(tên nhà thầu, mã số doanh nghiệp)</w:t>
      </w:r>
    </w:p>
    <w:p>
      <w:pPr>
        <w:keepNext w:val="0"/>
        <w:widowControl/>
        <w:spacing w:after="120" w:before="0" w:line="312" w:lineRule="auto"/>
        <w:ind w:firstLine="720"/>
        <w:jc w:val="both"/>
      </w:pPr>
      <w:r>
        <w:rPr>
          <w:rFonts w:ascii="Times New Roman" w:hAnsi="Times New Roman" w:eastAsia="Times New Roman"/>
          <w:b w:val="0"/>
          <w:i w:val="0"/>
          <w:color w:val="000000"/>
          <w:sz w:val="26"/>
        </w:rPr>
        <w:t>10. Quy mô, chỉ tiêu kỹ thuật; các giải pháp thiết kế nhằm sử dụng hiệu quả năng lượng, tiết kiệm tài nguyên (nếu có):</w:t>
      </w:r>
    </w:p>
    <w:p>
      <w:pPr>
        <w:keepNext w:val="0"/>
        <w:widowControl/>
        <w:spacing w:after="120" w:before="0" w:line="312" w:lineRule="auto"/>
        <w:ind w:firstLine="720"/>
        <w:jc w:val="both"/>
      </w:pPr>
      <w:r>
        <w:rPr>
          <w:rFonts w:ascii="Times New Roman" w:hAnsi="Times New Roman" w:eastAsia="Times New Roman"/>
          <w:b w:val="0"/>
          <w:i w:val="0"/>
          <w:color w:val="000000"/>
          <w:sz w:val="26"/>
        </w:rPr>
        <w:t>11. Thời hạn sử dụng theo thiết kế của công trình:</w:t>
      </w:r>
    </w:p>
    <w:p>
      <w:pPr>
        <w:keepNext w:val="0"/>
        <w:widowControl/>
        <w:spacing w:after="120" w:before="0" w:line="312" w:lineRule="auto"/>
        <w:ind w:firstLine="720"/>
        <w:jc w:val="both"/>
      </w:pPr>
      <w:r>
        <w:rPr>
          <w:rFonts w:ascii="Times New Roman" w:hAnsi="Times New Roman" w:eastAsia="Times New Roman"/>
          <w:b w:val="0"/>
          <w:i w:val="0"/>
          <w:color w:val="000000"/>
          <w:sz w:val="26"/>
        </w:rPr>
        <w:t>12. Giá trị dự toán xây dựng theo từng khoản mục chi phí:</w:t>
      </w:r>
    </w:p>
    <w:p>
      <w:pPr>
        <w:keepNext w:val="0"/>
        <w:widowControl/>
        <w:spacing w:after="120" w:before="0" w:line="312" w:lineRule="auto"/>
        <w:ind w:firstLine="720"/>
        <w:jc w:val="both"/>
      </w:pPr>
      <w:r>
        <w:rPr>
          <w:rFonts w:ascii="Times New Roman" w:hAnsi="Times New Roman" w:eastAsia="Times New Roman"/>
          <w:b w:val="0"/>
          <w:i w:val="0"/>
          <w:color w:val="000000"/>
          <w:sz w:val="26"/>
        </w:rPr>
        <w:t>13. Danh mục tiêu chuẩn chủ yếu áp dụng.</w:t>
      </w:r>
    </w:p>
    <w:p>
      <w:pPr>
        <w:keepNext w:val="0"/>
        <w:widowControl/>
        <w:spacing w:after="120" w:before="0" w:line="312" w:lineRule="auto"/>
        <w:ind w:firstLine="720"/>
        <w:jc w:val="both"/>
      </w:pPr>
      <w:r>
        <w:rPr>
          <w:rFonts w:ascii="Times New Roman" w:hAnsi="Times New Roman" w:eastAsia="Times New Roman"/>
          <w:b w:val="0"/>
          <w:i w:val="0"/>
          <w:color w:val="000000"/>
          <w:sz w:val="26"/>
        </w:rPr>
        <w:t>14. Các nội dung khác (nếu có).</w:t>
      </w:r>
    </w:p>
    <w:p>
      <w:pPr>
        <w:keepNext w:val="0"/>
        <w:widowControl/>
        <w:spacing w:after="120" w:before="0" w:line="312" w:lineRule="auto"/>
        <w:ind w:firstLine="720"/>
        <w:jc w:val="both"/>
      </w:pPr>
      <w:r>
        <w:rPr>
          <w:rFonts w:ascii="Times New Roman" w:hAnsi="Times New Roman" w:eastAsia="Times New Roman"/>
          <w:b/>
          <w:i w:val="0"/>
          <w:color w:val="000000"/>
          <w:sz w:val="26"/>
        </w:rPr>
        <w:t>Điều 2.</w:t>
      </w:r>
      <w:r>
        <w:rPr>
          <w:rFonts w:ascii="Times New Roman" w:hAnsi="Times New Roman" w:eastAsia="Times New Roman"/>
          <w:b w:val="0"/>
          <w:i w:val="0"/>
          <w:color w:val="000000"/>
          <w:sz w:val="26"/>
        </w:rPr>
        <w:t xml:space="preserve"> Tổ chức thực hiện.</w:t>
      </w:r>
    </w:p>
    <w:p>
      <w:pPr>
        <w:keepNext w:val="0"/>
        <w:widowControl/>
        <w:spacing w:after="120" w:before="0" w:line="312" w:lineRule="auto"/>
        <w:ind w:firstLine="720"/>
        <w:jc w:val="both"/>
      </w:pPr>
      <w:r>
        <w:rPr>
          <w:rFonts w:ascii="Times New Roman" w:hAnsi="Times New Roman" w:eastAsia="Times New Roman"/>
          <w:b/>
          <w:i w:val="0"/>
          <w:color w:val="000000"/>
          <w:sz w:val="26"/>
        </w:rPr>
        <w:t>Điều 3.</w:t>
      </w:r>
      <w:r>
        <w:rPr>
          <w:rFonts w:ascii="Times New Roman" w:hAnsi="Times New Roman" w:eastAsia="Times New Roman"/>
          <w:b w:val="0"/>
          <w:i w:val="0"/>
          <w:color w:val="000000"/>
          <w:sz w:val="26"/>
        </w:rPr>
        <w:t xml:space="preserve"> Tổ chức, cá nhân có liên quan chịu trách nhiệm thi hành quyết định.</w:t>
      </w:r>
    </w:p>
    <w:tbl>
      <w:tblPr>
        <w:tblW w:type="auto" w:w="0"/>
        <w:jc w:val="center"/>
        <w:tblLayout w:type="fixed"/>
        <w:tblLook w:firstColumn="1" w:firstRow="1" w:lastColumn="0" w:lastRow="0" w:noHBand="0" w:noVBand="1" w:val="04A0"/>
      </w:tblPr>
      <w:tblGrid>
        <w:gridCol w:w="4989"/>
        <w:gridCol w:w="4082"/>
      </w:tblGrid>
      <w:tr>
        <w:trPr>
          <w:cantSplit/>
        </w:trPr>
        <w:tc>
          <w:tcPr>
            <w:tcW w:type="dxa" w:w="4989"/>
            <w:vAlign w:val="top"/>
          </w:tcPr>
          <w:p>
            <w:pPr>
              <w:keepNext w:val="0"/>
              <w:widowControl/>
              <w:spacing w:after="560" w:before="0" w:line="264" w:lineRule="auto"/>
              <w:ind w:firstLine="0"/>
              <w:jc w:val="left"/>
            </w:pPr>
            <w:r>
              <w:rPr>
                <w:rFonts w:ascii="Times New Roman" w:hAnsi="Times New Roman" w:eastAsia="Times New Roman"/>
                <w:b/>
                <w:i/>
                <w:color w:val="000000"/>
                <w:sz w:val="24"/>
              </w:rPr>
              <w:t>Nơi nhận:</w:t>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br/>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t>-Như Điều 3;</w:t>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br/>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t>- Các cơ quan có liên quan;</w:t>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br/>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t>- Lưu: ....</w:t>
            </w:r>
          </w:p>
        </w:tc>
        <w:tc>
          <w:tcPr>
            <w:tcW w:type="dxa" w:w="4082"/>
            <w:vAlign w:val="top"/>
          </w:tcPr>
          <w:p>
            <w:pPr>
              <w:keepNext w:val="0"/>
              <w:widowControl/>
              <w:spacing w:after="560" w:before="0" w:line="264" w:lineRule="auto"/>
              <w:ind w:firstLine="0"/>
              <w:jc w:val="center"/>
            </w:pPr>
            <w:r>
              <w:rPr>
                <w:rFonts w:ascii="Times New Roman" w:hAnsi="Times New Roman" w:eastAsia="Times New Roman"/>
                <w:b/>
                <w:i w:val="0"/>
                <w:color w:val="000000"/>
                <w:sz w:val="26"/>
              </w:rPr>
              <w:t>CƠ QUAN PHÊ DUYỆT</w:t>
            </w:r>
            <w:r>
              <w:rPr>
                <w:rFonts w:ascii="Times New Roman" w:hAnsi="Times New Roman" w:eastAsia="Times New Roman"/>
                <w:b/>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i w:val="0"/>
                <w:color w:val="000000"/>
                <w:sz w:val="26"/>
              </w:rPr>
            </w:r>
            <w:r>
              <w:rPr>
                <w:rFonts w:ascii="Times New Roman" w:hAnsi="Times New Roman" w:eastAsia="Times New Roman"/>
                <w:b w:val="0"/>
                <w:i/>
                <w:color w:val="000000"/>
                <w:sz w:val="24"/>
              </w:rPr>
              <w:t>(Ký, ghi rõ họ và tên, chức vụ và đóng dấu)</w:t>
            </w:r>
          </w:p>
        </w:tc>
      </w:tr>
    </w:tbl>
    <w:p>
      <w:pPr>
        <w:keepNext w:val="0"/>
        <w:widowControl/>
        <w:spacing w:after="120" w:before="0" w:line="312" w:lineRule="auto"/>
        <w:ind w:firstLine="720"/>
        <w:jc w:val="both"/>
      </w:pPr>
      <w:r>
        <w:rPr>
          <w:rFonts w:ascii="Times New Roman" w:hAnsi="Times New Roman" w:eastAsia="Times New Roman"/>
          <w:b w:val="0"/>
          <w:i w:val="0"/>
          <w:color w:val="000000"/>
          <w:sz w:val="22"/>
          <w:vertAlign w:val="superscript"/>
        </w:rPr>
        <w:t>1</w:t>
      </w:r>
      <w:r>
        <w:rPr>
          <w:rFonts w:ascii="Times New Roman" w:hAnsi="Times New Roman" w:eastAsia="Times New Roman"/>
          <w:b w:val="0"/>
          <w:i w:val="0"/>
          <w:color w:val="000000"/>
          <w:sz w:val="22"/>
        </w:rPr>
        <w:t xml:space="preserve"> Theo quy định của Bộ Xây dựng về phân cấp công trình xây dựng và hướng dẫn áp dụng trong quản lý hoạt động xây dựng.</w:t>
      </w:r>
    </w:p>
    <w:sectPr w:rsidR="00FC693F" w:rsidRPr="0006063C" w:rsidSect="00034616">
      <w:headerReference w:type="default" r:id="rId9"/>
      <w:headerReference w:type="first" r:id="rId10"/>
      <w:pgSz w:w="11906" w:h="16838"/>
      <w:pgMar w:top="1417" w:right="1134" w:bottom="1417" w:left="1701" w:header="567"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fldSimple w:instr="PAGE"/>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olor w:val="000000"/>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13 – Phê duyệt thiết kế sau phê duyệt dự án</dc:title>
  <dc:subject>Phụ lục I – 217/2026/NĐ-CP</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