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628"/>
        <w:gridCol w:w="5443"/>
      </w:tblGrid>
      <w:tr>
        <w:trPr>
          <w:cantSplit/>
        </w:trPr>
        <w:tc>
          <w:tcPr>
            <w:tcW w:type="dxa" w:w="3628"/>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ĐƠN VỊ THẨM TRA</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__________</w:t>
            </w:r>
          </w:p>
          <w:p>
            <w:pPr>
              <w:keepNext w:val="0"/>
              <w:widowControl/>
              <w:spacing w:after="120" w:before="0" w:line="264" w:lineRule="auto"/>
              <w:ind w:firstLine="0"/>
              <w:jc w:val="center"/>
            </w:pPr>
            <w:bookmarkStart w:id="2" w:name="buildsia_number"/>
            <w:r>
              <w:rPr>
                <w:rFonts w:ascii="Times New Roman" w:hAnsi="Times New Roman" w:eastAsia="Times New Roman"/>
                <w:b w:val="0"/>
                <w:i/>
                <w:color w:val="000000"/>
                <w:sz w:val="26"/>
              </w:rPr>
              <w:t>(Số hiệu văn bản)</w:t>
            </w:r>
            <w:bookmarkEnd w:id="2"/>
          </w:p>
        </w:tc>
        <w:tc>
          <w:tcPr>
            <w:tcW w:type="dxa" w:w="5443"/>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______________________</w:t>
            </w:r>
          </w:p>
          <w:p>
            <w:pPr>
              <w:keepNext w:val="0"/>
              <w:widowControl/>
              <w:spacing w:after="120" w:before="0" w:line="264" w:lineRule="auto"/>
              <w:ind w:firstLine="0"/>
              <w:jc w:val="center"/>
            </w:pPr>
            <w:bookmarkStart w:id="3" w:name="buildsia_date"/>
            <w:r>
              <w:rPr>
                <w:rFonts w:ascii="Times New Roman" w:hAnsi="Times New Roman" w:eastAsia="Times New Roman"/>
                <w:b w:val="0"/>
                <w:i/>
                <w:color w:val="000000"/>
                <w:sz w:val="26"/>
              </w:rPr>
              <w:t>..., ngày... tháng... năm...</w:t>
            </w:r>
            <w:bookmarkEnd w:id="3"/>
          </w:p>
        </w:tc>
      </w:tr>
    </w:tbl>
    <w:p>
      <w:pPr>
        <w:keepNext w:val="0"/>
        <w:widowControl/>
        <w:spacing w:after="120" w:before="0" w:line="312" w:lineRule="auto"/>
        <w:ind w:firstLine="0"/>
        <w:jc w:val="center"/>
      </w:pPr>
      <w:r>
        <w:rPr>
          <w:rFonts w:ascii="Times New Roman" w:hAnsi="Times New Roman" w:eastAsia="Times New Roman"/>
          <w:b/>
          <w:i w:val="0"/>
          <w:color w:val="000000"/>
          <w:sz w:val="26"/>
        </w:rPr>
        <w:t>BÁO CÁO KẾT QUẢ THẨM TRA TỔNG MỨC ĐẦU TƯ XÂY DỰNG</w:t>
      </w:r>
    </w:p>
    <w:p>
      <w:pPr>
        <w:keepNext w:val="0"/>
        <w:widowControl/>
        <w:spacing w:after="120" w:before="0" w:line="312" w:lineRule="auto"/>
        <w:ind w:firstLine="0"/>
        <w:jc w:val="center"/>
      </w:pPr>
      <w:bookmarkStart w:id="4" w:name="buildsia_project"/>
      <w:r>
        <w:rPr>
          <w:rFonts w:ascii="Times New Roman" w:hAnsi="Times New Roman" w:eastAsia="Times New Roman"/>
          <w:b w:val="0"/>
          <w:i w:val="0"/>
          <w:color w:val="000000"/>
          <w:sz w:val="26"/>
        </w:rPr>
        <w:t>Dự án: .......................................................................................................</w:t>
      </w:r>
      <w:bookmarkEnd w:id="4"/>
    </w:p>
    <w:p>
      <w:pPr>
        <w:keepNext w:val="0"/>
        <w:widowControl/>
        <w:spacing w:after="120" w:before="0" w:line="312" w:lineRule="auto"/>
        <w:ind w:firstLine="0"/>
        <w:jc w:val="center"/>
      </w:pPr>
      <w:bookmarkStart w:id="5"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 chuẩn bị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Thực hiện theo Hợp đồng tư vấn thẩm tra </w:t>
      </w:r>
      <w:r>
        <w:rPr>
          <w:rFonts w:ascii="Times New Roman" w:hAnsi="Times New Roman" w:eastAsia="Times New Roman"/>
          <w:b w:val="0"/>
          <w:i/>
          <w:color w:val="000000"/>
          <w:sz w:val="26"/>
        </w:rPr>
        <w:t>(số hiệu hợp đồng)</w:t>
      </w:r>
      <w:r>
        <w:rPr>
          <w:rFonts w:ascii="Times New Roman" w:hAnsi="Times New Roman" w:eastAsia="Times New Roman"/>
          <w:b w:val="0"/>
          <w:i w:val="0"/>
          <w:color w:val="000000"/>
          <w:sz w:val="26"/>
        </w:rPr>
        <w:t xml:space="preserve"> giữa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và </w:t>
      </w:r>
      <w:r>
        <w:rPr>
          <w:rFonts w:ascii="Times New Roman" w:hAnsi="Times New Roman" w:eastAsia="Times New Roman"/>
          <w:b w:val="0"/>
          <w:i/>
          <w:color w:val="000000"/>
          <w:sz w:val="26"/>
        </w:rPr>
        <w:t>(nhà thầu thẩm tra tổng mức đầu tư xây dựng)</w:t>
      </w:r>
      <w:r>
        <w:rPr>
          <w:rFonts w:ascii="Times New Roman" w:hAnsi="Times New Roman" w:eastAsia="Times New Roman"/>
          <w:b w:val="0"/>
          <w:i w:val="0"/>
          <w:color w:val="000000"/>
          <w:sz w:val="26"/>
        </w:rPr>
        <w:t xml:space="preserve"> về việc thẩm tra tổng mức đầu tư xây dựng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Sau khi xem xét, </w:t>
      </w:r>
      <w:r>
        <w:rPr>
          <w:rFonts w:ascii="Times New Roman" w:hAnsi="Times New Roman" w:eastAsia="Times New Roman"/>
          <w:b w:val="0"/>
          <w:i/>
          <w:color w:val="000000"/>
          <w:sz w:val="26"/>
        </w:rPr>
        <w:t>(nhà thầu thẩm tra tổng mức đầu tư xây dựng)</w:t>
      </w:r>
      <w:r>
        <w:rPr>
          <w:rFonts w:ascii="Times New Roman" w:hAnsi="Times New Roman" w:eastAsia="Times New Roman"/>
          <w:b w:val="0"/>
          <w:i w:val="0"/>
          <w:color w:val="000000"/>
          <w:sz w:val="26"/>
        </w:rPr>
        <w:t xml:space="preserve"> báo cáo kết quả thẩm tra như sau:</w:t>
      </w:r>
    </w:p>
    <w:p>
      <w:pPr>
        <w:keepNext/>
        <w:widowControl/>
        <w:spacing w:after="120" w:before="80" w:line="312" w:lineRule="auto"/>
        <w:ind w:firstLine="0"/>
        <w:jc w:val="both"/>
      </w:pPr>
      <w:r>
        <w:rPr>
          <w:rFonts w:ascii="Times New Roman" w:hAnsi="Times New Roman" w:eastAsia="Times New Roman"/>
          <w:b/>
          <w:i w:val="0"/>
          <w:color w:val="000000"/>
          <w:sz w:val="26"/>
        </w:rPr>
        <w:t>1. Khái quát về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dự án/dự án thành phần thuộc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Nhóm dự án, loại và cấp công trình chính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Quy mô đầu tư xây dựng: một số chỉ tiêu, thông số chính thể hiện quy mô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cơ quan chuẩn bị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tư vấn lập tổng mức đầu tư xây dựng: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2. Danh mục hồ sơ đề nghị thẩm tra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2.1. Văn bản pháp lý</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Văn bản về chủ trương đầu tư xây dựng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văn bản cơ sở pháp lý liên quan đến dự án, xác định tổng mức đầu tư: Luật, Nghị định, Thông tư; các văn bản, tài liệu khác có liên quan đến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2.2. Hồ sơ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Thuyết minh BCNCKT, thuyết minh thiết kế, thiết kế xây dựng trong BCNCKT;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quả thẩm tra thiết kế trong BCNCKT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xác định tổng mức đầu tư (gồm thuyết minh xác định tổng mức đầu tư, chi tiết tính toán tổng mức đầu tư và các tài liệu có liên quan (nếu có) trong xác định tổng mức đầu tư).</w:t>
      </w:r>
    </w:p>
    <w:p>
      <w:pPr>
        <w:keepNext/>
        <w:widowControl/>
        <w:spacing w:after="120" w:before="80" w:line="312" w:lineRule="auto"/>
        <w:ind w:firstLine="0"/>
        <w:jc w:val="both"/>
      </w:pPr>
      <w:r>
        <w:rPr>
          <w:rFonts w:ascii="Times New Roman" w:hAnsi="Times New Roman" w:eastAsia="Times New Roman"/>
          <w:b/>
          <w:i w:val="0"/>
          <w:color w:val="000000"/>
          <w:sz w:val="26"/>
        </w:rPr>
        <w:t>3. Nội dung tổng mức đầu tư trình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Tóm tắt nội dung thông tin cơ bản dự án, công trình; phạm vi, nội dung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tổng mức đầu tư: bao gồm các khoản mục chi phí theo công trình, hạng mục công trình thuộc dự án; các dự án thành phần, phân kỳ đầu tư (nếu có).</w:t>
      </w:r>
    </w:p>
    <w:p>
      <w:pPr>
        <w:keepNext/>
        <w:widowControl/>
        <w:spacing w:after="120" w:before="80" w:line="312" w:lineRule="auto"/>
        <w:ind w:firstLine="0"/>
        <w:jc w:val="both"/>
      </w:pPr>
      <w:r>
        <w:rPr>
          <w:rFonts w:ascii="Times New Roman" w:hAnsi="Times New Roman" w:eastAsia="Times New Roman"/>
          <w:b/>
          <w:i w:val="0"/>
          <w:color w:val="000000"/>
          <w:sz w:val="26"/>
        </w:rPr>
        <w:t>4. Nhận xét về cơ sở pháp lý và hồ sơ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Nhận xét về cơ sở pháp lý lập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Nhận xét về các cơ sở để xác định các khoản mục chi phí trong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của đơn vị thẩm tra về việc đủ điều kiện/chưa đủ điều kiện để thực hiện thẩm tra.</w:t>
      </w:r>
    </w:p>
    <w:p>
      <w:pPr>
        <w:keepNext/>
        <w:widowControl/>
        <w:spacing w:after="120" w:before="80" w:line="312" w:lineRule="auto"/>
        <w:ind w:firstLine="0"/>
        <w:jc w:val="both"/>
      </w:pPr>
      <w:r>
        <w:rPr>
          <w:rFonts w:ascii="Times New Roman" w:hAnsi="Times New Roman" w:eastAsia="Times New Roman"/>
          <w:b/>
          <w:i w:val="0"/>
          <w:color w:val="000000"/>
          <w:sz w:val="26"/>
        </w:rPr>
        <w:t>5. Nội dung thẩm tra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Phạm vi thực hiện thẩm tra, các nội dung không thực hiện thẩm tra (nếu có), lý do....;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Kiểm tra sự phù hợp của danh mục các khoản mục chi phí trong tổng mức đầu tư xây dựng với quy định của pháp luật, quy mô, công năng và mục tiêu đầu tư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Kiểm tra sự phù hợp việc xác định các khoản mục chi phí trong tổng mức đầu tư xây dựng với loại thiết kế xây dựng được sử dụng và đặc thù kỹ thuật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Kiểm tra sự phù hợp của việc tính toán khối lượng chủ yếu được sử dụng để xác định chi phí xây dựng, chi phí thiết bị;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Kiểm tra sự phù hợp của việc sử dụng các công cụ giá, định mức xây dựng, dữ liệu chi phí công trình tương tự để xác định giá thiết bị, giá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Kiểm tra sự phù hợp của các chế độ chính sách của Nhà nước, các quy định về quản lý chi phí đầu tư xây dựng tại thời điểm xác định tổng mức đầu tư xây dựng.</w:t>
      </w:r>
    </w:p>
    <w:p>
      <w:pPr>
        <w:keepNext/>
        <w:widowControl/>
        <w:spacing w:after="120" w:before="80" w:line="312" w:lineRule="auto"/>
        <w:ind w:firstLine="0"/>
        <w:jc w:val="both"/>
      </w:pPr>
      <w:r>
        <w:rPr>
          <w:rFonts w:ascii="Times New Roman" w:hAnsi="Times New Roman" w:eastAsia="Times New Roman"/>
          <w:b/>
          <w:i w:val="0"/>
          <w:color w:val="000000"/>
          <w:sz w:val="26"/>
        </w:rPr>
        <w:t>6. Kết quả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Dựa vào các căn cứ và nội dung thẩm tra nêu trên, giá trị tổng mức đầu tư xây dựng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sau thẩm tra như sau:</w:t>
      </w:r>
    </w:p>
    <w:p>
      <w:pPr>
        <w:keepNext w:val="0"/>
        <w:widowControl/>
        <w:spacing w:after="120" w:before="0" w:line="312" w:lineRule="auto"/>
        <w:ind w:firstLine="0"/>
        <w:jc w:val="right"/>
      </w:pPr>
      <w:r>
        <w:rPr>
          <w:rFonts w:ascii="Times New Roman" w:hAnsi="Times New Roman" w:eastAsia="Times New Roman"/>
          <w:b w:val="0"/>
          <w:i/>
          <w:color w:val="000000"/>
          <w:sz w:val="26"/>
        </w:rPr>
        <w:t>Đơn vị tính: ...</w:t>
      </w:r>
    </w:p>
    <w:tbl>
      <w:tblPr>
        <w:tblStyle w:val="TableGrid"/>
        <w:tblW w:type="auto" w:w="0"/>
        <w:tblLayout w:type="fixed"/>
        <w:tblLook w:firstColumn="1" w:firstRow="1" w:lastColumn="0" w:lastRow="0" w:noHBand="0" w:noVBand="1" w:val="04A0"/>
      </w:tblPr>
      <w:tblGrid>
        <w:gridCol w:w="794"/>
        <w:gridCol w:w="2948"/>
        <w:gridCol w:w="1332"/>
        <w:gridCol w:w="1332"/>
        <w:gridCol w:w="1332"/>
        <w:gridCol w:w="1332"/>
      </w:tblGrid>
      <w:tr>
        <w:trPr>
          <w:cantSplit/>
          <w:tblHeader/>
          <w:tblHeader/>
          <w:tblHeader/>
          <w:tblHeader/>
          <w:tblHeader/>
          <w:tblHeader/>
        </w:trPr>
        <w:tc>
          <w:tcPr>
            <w:tcW w:type="dxa" w:w="794"/>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STT</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Nội dung chi phí</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sơ bộ TMĐT</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đề nghị thẩm tra</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thẩm tra</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Tăng, giảm (+/-)</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bồi thường, hỗ trợ và tái định cư (nếu có)</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thiết bị (nếu có)</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quản lý dự án</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tư vấn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khác</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7</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dự phòng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p>
        </w:tc>
        <w:tc>
          <w:tcPr>
            <w:tcW w:type="dxa" w:w="2948"/>
            <w:vAlign w:val="center"/>
          </w:tcPr>
          <w:p>
            <w:pPr>
              <w:keepNext w:val="0"/>
              <w:widowControl/>
              <w:spacing w:after="120" w:before="0" w:line="264" w:lineRule="auto"/>
              <w:ind w:firstLine="0"/>
              <w:jc w:val="both"/>
            </w:pPr>
            <w:r>
              <w:rPr>
                <w:rFonts w:ascii="Times New Roman" w:hAnsi="Times New Roman" w:eastAsia="Times New Roman"/>
                <w:b/>
                <w:i w:val="0"/>
                <w:color w:val="000000"/>
                <w:sz w:val="26"/>
              </w:rPr>
              <w:t>Tổng cộng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bl>
    <w:p>
      <w:pPr>
        <w:keepNext w:val="0"/>
        <w:widowControl/>
        <w:spacing w:after="120" w:before="0" w:line="312" w:lineRule="auto"/>
        <w:ind w:firstLine="720"/>
        <w:jc w:val="both"/>
      </w:pPr>
      <w:r>
        <w:rPr>
          <w:rFonts w:ascii="Times New Roman" w:hAnsi="Times New Roman" w:eastAsia="Times New Roman"/>
          <w:b w:val="0"/>
          <w:i/>
          <w:color w:val="000000"/>
          <w:sz w:val="26"/>
        </w:rPr>
        <w:t>(có phụ lục chi tiết kèm theo)</w:t>
      </w:r>
    </w:p>
    <w:p>
      <w:pPr>
        <w:keepNext w:val="0"/>
        <w:widowControl/>
        <w:spacing w:after="120" w:before="0" w:line="312" w:lineRule="auto"/>
        <w:ind w:firstLine="720"/>
        <w:jc w:val="both"/>
      </w:pPr>
      <w:r>
        <w:rPr>
          <w:rFonts w:ascii="Times New Roman" w:hAnsi="Times New Roman" w:eastAsia="Times New Roman"/>
          <w:b w:val="0"/>
          <w:i w:val="0"/>
          <w:color w:val="000000"/>
          <w:sz w:val="26"/>
        </w:rPr>
        <w:t>- Phân tích nguyên nhân tăng, giảm so với giá trị tổng mức đầu tư xây dựng đề nghị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 Đánh giá việc đảm bảo hiệu quả đầu tư của dự án theo giá trị tổng mức đầu tư xây dựng xác định sau thẩm tra.</w:t>
      </w:r>
    </w:p>
    <w:p>
      <w:pPr>
        <w:keepNext/>
        <w:widowControl/>
        <w:spacing w:after="120" w:before="80" w:line="312" w:lineRule="auto"/>
        <w:ind w:firstLine="0"/>
        <w:jc w:val="both"/>
      </w:pPr>
      <w:r>
        <w:rPr>
          <w:rFonts w:ascii="Times New Roman" w:hAnsi="Times New Roman" w:eastAsia="Times New Roman"/>
          <w:b/>
          <w:i w:val="0"/>
          <w:color w:val="000000"/>
          <w:sz w:val="26"/>
        </w:rPr>
        <w:t>7. Kết luận và kiến nghị</w:t>
      </w:r>
    </w:p>
    <w:p>
      <w:pPr>
        <w:keepNext w:val="0"/>
        <w:widowControl/>
        <w:spacing w:after="120" w:before="0" w:line="312" w:lineRule="auto"/>
        <w:ind w:firstLine="720"/>
        <w:jc w:val="both"/>
      </w:pPr>
      <w:r>
        <w:rPr>
          <w:rFonts w:ascii="Times New Roman" w:hAnsi="Times New Roman" w:eastAsia="Times New Roman"/>
          <w:b/>
          <w:i/>
          <w:color w:val="000000"/>
          <w:sz w:val="26"/>
        </w:rPr>
        <w:t>7.1. Kết luận</w:t>
      </w:r>
    </w:p>
    <w:p>
      <w:pPr>
        <w:keepNext w:val="0"/>
        <w:widowControl/>
        <w:spacing w:after="120" w:before="0" w:line="312" w:lineRule="auto"/>
        <w:ind w:firstLine="720"/>
        <w:jc w:val="both"/>
      </w:pPr>
      <w:r>
        <w:rPr>
          <w:rFonts w:ascii="Times New Roman" w:hAnsi="Times New Roman" w:eastAsia="Times New Roman"/>
          <w:b w:val="0"/>
          <w:i w:val="0"/>
          <w:color w:val="000000"/>
          <w:sz w:val="26"/>
        </w:rPr>
        <w:t>Hồ sơ tổng mức đầu tư xây dựng dự án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đủ điều kiện/chưa đủ điều kiện để triển khai các bước tiếp theo.</w:t>
      </w:r>
    </w:p>
    <w:p>
      <w:pPr>
        <w:keepNext w:val="0"/>
        <w:widowControl/>
        <w:spacing w:after="120" w:before="0" w:line="312" w:lineRule="auto"/>
        <w:ind w:firstLine="720"/>
        <w:jc w:val="both"/>
      </w:pPr>
      <w:r>
        <w:rPr>
          <w:rFonts w:ascii="Times New Roman" w:hAnsi="Times New Roman" w:eastAsia="Times New Roman"/>
          <w:b/>
          <w:i/>
          <w:color w:val="000000"/>
          <w:sz w:val="26"/>
        </w:rPr>
        <w:t>7.2. Kiến nghị (nếu có)</w:t>
      </w:r>
    </w:p>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NGƯỜI THẨM TRA</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họ tên)</w:t>
            </w:r>
          </w:p>
        </w:tc>
        <w:tc>
          <w:tcPr>
            <w:tcW w:type="dxa" w:w="4535"/>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NGƯỜI CHỦ TRÌ</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họ tên)</w:t>
            </w:r>
          </w:p>
        </w:tc>
      </w:tr>
    </w:tbl>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ĐƠN VỊ THẨM TRA</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tên, chức vụ và đóng dấu)</w:t>
            </w:r>
          </w:p>
        </w:tc>
      </w:tr>
    </w:tbl>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01 – Thẩm tra tổng mức đầu tư</dc:title>
  <dc:subject>Phụ lục VIII – 36/2026/TT-BXD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