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4535"/>
        <w:gridCol w:w="4535"/>
      </w:tblGrid>
      <w:tr>
        <w:trPr>
          <w:cantSplit/>
        </w:trPr>
        <w:tc>
          <w:tcPr>
            <w:tcW w:type="dxa" w:w="4535"/>
            <w:vAlign w:val="top"/>
          </w:tcPr>
          <w:p>
            <w:pPr>
              <w:keepNext w:val="0"/>
              <w:widowControl/>
              <w:spacing w:after="120" w:before="0" w:line="264" w:lineRule="auto"/>
              <w:ind w:firstLine="0"/>
              <w:jc w:val="center"/>
            </w:pPr>
            <w:bookmarkStart w:id="1" w:name="buildsia_agency"/>
            <w:r>
              <w:rPr>
                <w:rFonts w:ascii="Times New Roman" w:hAnsi="Times New Roman" w:eastAsia="Times New Roman"/>
                <w:b/>
                <w:i w:val="0"/>
                <w:color w:val="000000"/>
                <w:sz w:val="26"/>
              </w:rPr>
              <w:t>CƠ QUAN CHUYÊN MÔN VỀ XÂY DỰNG</w:t>
            </w:r>
            <w:bookmarkEnd w:id="1"/>
            <w:r>
              <w:rPr>
                <w:rFonts w:ascii="Times New Roman" w:hAnsi="Times New Roman" w:eastAsia="Times New Roman"/>
                <w:b/>
                <w:i w:val="0"/>
                <w:color w:val="000000"/>
                <w:sz w:val="26"/>
                <w:vertAlign w:val="superscript"/>
              </w:rPr>
              <w:t>1</w:t>
            </w:r>
          </w:p>
          <w:p>
            <w:pPr>
              <w:keepNext w:val="0"/>
              <w:widowControl/>
              <w:spacing w:after="120" w:before="0" w:line="264" w:lineRule="auto"/>
              <w:ind w:firstLine="0"/>
              <w:jc w:val="center"/>
            </w:pPr>
            <w:bookmarkStart w:id="2" w:name="buildsia_number"/>
            <w:r>
              <w:rPr>
                <w:rFonts w:ascii="Times New Roman" w:hAnsi="Times New Roman" w:eastAsia="Times New Roman"/>
                <w:b w:val="0"/>
                <w:i w:val="0"/>
                <w:color w:val="000000"/>
                <w:sz w:val="26"/>
              </w:rPr>
              <w:t>(Số hiệu văn bản)</w:t>
            </w:r>
            <w:bookmarkEnd w:id="2"/>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 xml:space="preserve">V/v thông báo kết quả thẩm định tổng mức đầu tư xây dựng dự án </w:t>
            </w:r>
            <w:r>
              <w:rPr>
                <w:rFonts w:ascii="Times New Roman" w:hAnsi="Times New Roman" w:eastAsia="Times New Roman"/>
                <w:b w:val="0"/>
                <w:i/>
                <w:color w:val="000000"/>
                <w:sz w:val="26"/>
              </w:rPr>
              <w:t>(tên dự án/công trình của dự án)</w:t>
            </w:r>
          </w:p>
        </w:tc>
        <w:tc>
          <w:tcPr>
            <w:tcW w:type="dxa" w:w="4535"/>
            <w:vAlign w:val="top"/>
          </w:tcPr>
          <w:p>
            <w:pPr>
              <w:keepNext w:val="0"/>
              <w:widowControl/>
              <w:spacing w:after="120" w:before="0" w:line="264" w:lineRule="auto"/>
              <w:ind w:firstLine="0"/>
              <w:jc w:val="center"/>
            </w:pPr>
            <w:r>
              <w:rPr>
                <w:rFonts w:ascii="Times New Roman" w:hAnsi="Times New Roman" w:eastAsia="Times New Roman"/>
                <w:b/>
                <w:i w:val="0"/>
                <w:color w:val="000000"/>
                <w:sz w:val="24"/>
              </w:rPr>
              <w:t>CỘNG HÒA XÃ HỘI CHỦ NGHĨA VIỆT NAM</w:t>
            </w:r>
          </w:p>
          <w:p>
            <w:pPr>
              <w:keepNext w:val="0"/>
              <w:widowControl/>
              <w:spacing w:after="120" w:before="0" w:line="264" w:lineRule="auto"/>
              <w:ind w:firstLine="0"/>
              <w:jc w:val="center"/>
            </w:pPr>
            <w:r>
              <w:rPr>
                <w:rFonts w:ascii="Times New Roman" w:hAnsi="Times New Roman" w:eastAsia="Times New Roman"/>
                <w:b/>
                <w:i w:val="0"/>
                <w:color w:val="000000"/>
                <w:sz w:val="26"/>
              </w:rPr>
              <w:t>Độc lập - Tự do - Hạnh phúc</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w:t>
            </w:r>
          </w:p>
          <w:p>
            <w:pPr>
              <w:keepNext w:val="0"/>
              <w:widowControl/>
              <w:spacing w:after="120" w:before="0" w:line="264" w:lineRule="auto"/>
              <w:ind w:firstLine="0"/>
              <w:jc w:val="center"/>
            </w:pPr>
            <w:bookmarkStart w:id="3" w:name="buildsia_date"/>
            <w:r>
              <w:rPr>
                <w:rFonts w:ascii="Times New Roman" w:hAnsi="Times New Roman" w:eastAsia="Times New Roman"/>
                <w:b w:val="0"/>
                <w:i w:val="0"/>
                <w:color w:val="000000"/>
                <w:sz w:val="26"/>
              </w:rPr>
              <w:t>…, ngày... tháng... năm…</w:t>
            </w:r>
            <w:bookmarkEnd w:id="3"/>
          </w:p>
        </w:tc>
      </w:tr>
    </w:tbl>
    <w:p>
      <w:pPr>
        <w:keepNext w:val="0"/>
        <w:widowControl/>
        <w:spacing w:after="120" w:before="0" w:line="312" w:lineRule="auto"/>
        <w:ind w:firstLine="0"/>
        <w:jc w:val="center"/>
      </w:pPr>
      <w:bookmarkStart w:id="4" w:name="buildsia_recipient"/>
      <w:r>
        <w:rPr>
          <w:rFonts w:ascii="Times New Roman" w:hAnsi="Times New Roman" w:eastAsia="Times New Roman"/>
          <w:b w:val="0"/>
          <w:i w:val="0"/>
          <w:color w:val="000000"/>
          <w:sz w:val="26"/>
        </w:rPr>
        <w:t xml:space="preserve">Kính gửi: </w:t>
      </w:r>
      <w:r>
        <w:rPr>
          <w:rFonts w:ascii="Times New Roman" w:hAnsi="Times New Roman" w:eastAsia="Times New Roman"/>
          <w:b w:val="0"/>
          <w:i/>
          <w:color w:val="000000"/>
          <w:sz w:val="26"/>
        </w:rPr>
        <w:t>(Cơ quan chuẩn bị dự án)</w:t>
      </w:r>
      <w:bookmarkEnd w:id="4"/>
    </w:p>
    <w:p>
      <w:pPr>
        <w:keepNext w:val="0"/>
        <w:widowControl/>
        <w:spacing w:after="120" w:before="0" w:line="312" w:lineRule="auto"/>
        <w:ind w:firstLine="720"/>
        <w:jc w:val="both"/>
      </w:pPr>
      <w:r>
        <w:rPr>
          <w:rFonts w:ascii="Times New Roman" w:hAnsi="Times New Roman" w:eastAsia="Times New Roman"/>
          <w:b w:val="0"/>
          <w:i/>
          <w:color w:val="000000"/>
          <w:sz w:val="26"/>
        </w:rPr>
        <w:t>(Cơ quan chuyên môn về xây dựng)</w:t>
      </w:r>
      <w:r>
        <w:rPr>
          <w:rFonts w:ascii="Times New Roman" w:hAnsi="Times New Roman" w:eastAsia="Times New Roman"/>
          <w:b w:val="0"/>
          <w:i w:val="0"/>
          <w:color w:val="000000"/>
          <w:sz w:val="26"/>
        </w:rPr>
        <w:t xml:space="preserve"> đã nhận Tờ trình số … ngày … tháng … năm … của </w:t>
      </w:r>
      <w:r>
        <w:rPr>
          <w:rFonts w:ascii="Times New Roman" w:hAnsi="Times New Roman" w:eastAsia="Times New Roman"/>
          <w:b w:val="0"/>
          <w:i/>
          <w:color w:val="000000"/>
          <w:sz w:val="26"/>
        </w:rPr>
        <w:t>(cơ quan chuẩn bị dự án)</w:t>
      </w:r>
      <w:r>
        <w:rPr>
          <w:rFonts w:ascii="Times New Roman" w:hAnsi="Times New Roman" w:eastAsia="Times New Roman"/>
          <w:b w:val="0"/>
          <w:i w:val="0"/>
          <w:color w:val="000000"/>
          <w:sz w:val="26"/>
        </w:rPr>
        <w:t xml:space="preserve"> trình thẩm định tổng mức đầu tư xây dựng dự án </w:t>
      </w:r>
      <w:r>
        <w:rPr>
          <w:rFonts w:ascii="Times New Roman" w:hAnsi="Times New Roman" w:eastAsia="Times New Roman"/>
          <w:b w:val="0"/>
          <w:i/>
          <w:color w:val="000000"/>
          <w:sz w:val="26"/>
        </w:rPr>
        <w:t>(tên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Căn cứ quy định về thẩm quyền, nội dung thẩm định dự án, tổng mức đầu tư tại Luật Xây dựng số 135/2025/QH15 ngày 10 tháng 12 năm 2025; Nghị định số 217/2026/NĐ-CP ngày 19 tháng 6 năm 2026; Nghị định số 206/2026/NĐ-CP ngày 15 tháng 06 năm 2026 của Chính phủ quy định chi tiết về quản lý chi phí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Các căn cứ pháp lý khác có liên quan;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Sau khi xem xét, </w:t>
      </w:r>
      <w:r>
        <w:rPr>
          <w:rFonts w:ascii="Times New Roman" w:hAnsi="Times New Roman" w:eastAsia="Times New Roman"/>
          <w:b w:val="0"/>
          <w:i/>
          <w:color w:val="000000"/>
          <w:sz w:val="26"/>
        </w:rPr>
        <w:t>(cơ quan chuyên môn về xây dựng)</w:t>
      </w:r>
      <w:r>
        <w:rPr>
          <w:rFonts w:ascii="Times New Roman" w:hAnsi="Times New Roman" w:eastAsia="Times New Roman"/>
          <w:b w:val="0"/>
          <w:i w:val="0"/>
          <w:color w:val="000000"/>
          <w:sz w:val="26"/>
        </w:rPr>
        <w:t xml:space="preserve"> thông báo kết quả thẩm định tổng mức đầu tư xây dựng dự án </w:t>
      </w:r>
      <w:r>
        <w:rPr>
          <w:rFonts w:ascii="Times New Roman" w:hAnsi="Times New Roman" w:eastAsia="Times New Roman"/>
          <w:b w:val="0"/>
          <w:i/>
          <w:color w:val="000000"/>
          <w:sz w:val="26"/>
        </w:rPr>
        <w:t>(tên dự án/công trình của dự án)</w:t>
      </w:r>
      <w:r>
        <w:rPr>
          <w:rFonts w:ascii="Times New Roman" w:hAnsi="Times New Roman" w:eastAsia="Times New Roman"/>
          <w:b w:val="0"/>
          <w:i w:val="0"/>
          <w:color w:val="000000"/>
          <w:sz w:val="26"/>
        </w:rPr>
        <w:t xml:space="preserve"> như sau:</w:t>
      </w:r>
    </w:p>
    <w:p>
      <w:pPr>
        <w:keepNext/>
        <w:widowControl/>
        <w:spacing w:after="120" w:before="80" w:line="312" w:lineRule="auto"/>
        <w:ind w:firstLine="0"/>
        <w:jc w:val="both"/>
      </w:pPr>
      <w:r>
        <w:rPr>
          <w:rFonts w:ascii="Times New Roman" w:hAnsi="Times New Roman" w:eastAsia="Times New Roman"/>
          <w:b/>
          <w:i w:val="0"/>
          <w:color w:val="000000"/>
          <w:sz w:val="26"/>
        </w:rPr>
        <w:t>1. Thông tin chung về dự án</w:t>
      </w:r>
    </w:p>
    <w:p>
      <w:pPr>
        <w:keepNext w:val="0"/>
        <w:widowControl/>
        <w:spacing w:after="120" w:before="0" w:line="312" w:lineRule="auto"/>
        <w:ind w:firstLine="720"/>
        <w:jc w:val="both"/>
      </w:pPr>
      <w:bookmarkStart w:id="5" w:name="buildsia_project"/>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Tên dự án/dự án thành phần thuộc dự án:</w:t>
      </w:r>
      <w:bookmarkEnd w:id="5"/>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Nhóm dự án, loại và cấp công trình chính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Mã định danh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Quy mô đầu tư xây dựng: một số chỉ tiêu, thông số chính thể hiện quy mô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Người quyết định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 xml:space="preserve">Tên cơ quan chuẩn bị dự án và các thông tin để liên hệ </w:t>
      </w:r>
      <w:r>
        <w:rPr>
          <w:rFonts w:ascii="Times New Roman" w:hAnsi="Times New Roman" w:eastAsia="Times New Roman"/>
          <w:b w:val="0"/>
          <w:i/>
          <w:color w:val="000000"/>
          <w:sz w:val="26"/>
        </w:rPr>
        <w:t>(địa chỉ, điện thoại, …):</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Địa điểm xây dựng dự án: (</w:t>
      </w:r>
      <w:r>
        <w:rPr>
          <w:rFonts w:ascii="Times New Roman" w:hAnsi="Times New Roman" w:eastAsia="Times New Roman"/>
          <w:b w:val="0"/>
          <w:i/>
          <w:color w:val="000000"/>
          <w:sz w:val="26"/>
        </w:rPr>
        <w:t>ghi địa danh cấp xã, tỉnh</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Giá trị tổng mức đầu tư xây dựng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Nguồn vốn đầu tư: (xác định và ghi rõ: vốn đầu tư công/vốn chi thường xuyên từ ngân sách nhà nước/vốn ngân sách nhà nước khác/vốn khác/thực hiện theo phương thức PPP).</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Thời gian thực hiện dự án; phân kỳ đầu tư (nếu có); thời hạn hoạt động của dự án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Các nhà thầu tư vấn khảo sát, lập, thẩm tra dự án, tổng mức đầu tư (nếu có): (</w:t>
      </w:r>
      <w:r>
        <w:rPr>
          <w:rFonts w:ascii="Times New Roman" w:hAnsi="Times New Roman" w:eastAsia="Times New Roman"/>
          <w:b w:val="0"/>
          <w:i/>
          <w:color w:val="000000"/>
          <w:sz w:val="26"/>
        </w:rPr>
        <w:t>tên nhà thầu, mã số doanh nghiệp</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Các thông tin khác (nếu có).</w:t>
      </w:r>
    </w:p>
    <w:p>
      <w:pPr>
        <w:keepNext/>
        <w:widowControl/>
        <w:spacing w:after="120" w:before="80" w:line="312" w:lineRule="auto"/>
        <w:ind w:firstLine="0"/>
        <w:jc w:val="both"/>
      </w:pPr>
      <w:r>
        <w:rPr>
          <w:rFonts w:ascii="Times New Roman" w:hAnsi="Times New Roman" w:eastAsia="Times New Roman"/>
          <w:b/>
          <w:i w:val="0"/>
          <w:color w:val="000000"/>
          <w:sz w:val="26"/>
        </w:rPr>
        <w:t>2. Hồ sơ trình thẩm định</w:t>
      </w:r>
    </w:p>
    <w:p>
      <w:pPr>
        <w:keepNext w:val="0"/>
        <w:widowControl/>
        <w:spacing w:after="120" w:before="0" w:line="312" w:lineRule="auto"/>
        <w:ind w:firstLine="720"/>
        <w:jc w:val="both"/>
      </w:pPr>
      <w:r>
        <w:rPr>
          <w:rFonts w:ascii="Times New Roman" w:hAnsi="Times New Roman" w:eastAsia="Times New Roman"/>
          <w:b/>
          <w:i/>
          <w:color w:val="000000"/>
          <w:sz w:val="26"/>
        </w:rPr>
        <w:t>2.1. Văn bản pháp lý</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Tờ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Văn bản về chủ trương đầu tư xây dựng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Các văn bản cơ sở pháp lý liên quan đến dự án, xác định tổng mức đầu tư: Luật, Nghị định, Thông tư; các văn bản, tài liệu khác có liên quan đến dự án…</w:t>
      </w:r>
    </w:p>
    <w:p>
      <w:pPr>
        <w:keepNext w:val="0"/>
        <w:widowControl/>
        <w:spacing w:after="120" w:before="0" w:line="312" w:lineRule="auto"/>
        <w:ind w:firstLine="720"/>
        <w:jc w:val="both"/>
      </w:pPr>
      <w:r>
        <w:rPr>
          <w:rFonts w:ascii="Times New Roman" w:hAnsi="Times New Roman" w:eastAsia="Times New Roman"/>
          <w:b w:val="0"/>
          <w:i/>
          <w:color w:val="000000"/>
          <w:sz w:val="26"/>
        </w:rPr>
        <w:t>(Liệt kê các văn bản pháp lý có liên quan của dự án)</w:t>
      </w:r>
    </w:p>
    <w:p>
      <w:pPr>
        <w:keepNext w:val="0"/>
        <w:widowControl/>
        <w:spacing w:after="120" w:before="0" w:line="312" w:lineRule="auto"/>
        <w:ind w:firstLine="720"/>
        <w:jc w:val="both"/>
      </w:pPr>
      <w:r>
        <w:rPr>
          <w:rFonts w:ascii="Times New Roman" w:hAnsi="Times New Roman" w:eastAsia="Times New Roman"/>
          <w:b/>
          <w:i/>
          <w:color w:val="000000"/>
          <w:sz w:val="26"/>
        </w:rPr>
        <w:t>2.2. Hồ sơ, tài liệu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Hồ sơ dự án (bao gồm thuyết minh BCNCKT, thuyết minh thiết kế xây dựng, thiết kế xây dựng trong BCNCKT;</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Hồ sơ xác định tổng mức đầu tư (gồm thuyết minh xác định tổng mức đầu tư, chi tiết tính toán tổng mức đầu tư và các tài liệu có liên quan (nếu có) trong xác định tổng mức đầu tư) được hoàn thiện theo ý kiến thẩm tra (nếu có), kèm theo nội dung kiểm tra, rà soát, thẩm định hồ sơ tổng mức đầu tư của cơ quan chuẩn bị dự án trước khi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Báo cáo kết quả thẩm tra tổng mức đầu tư xây dựng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Kết quả thẩm định thiết kế xây dựng trong BCNCKT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Các hồ sơ, tài liệu khác có liên quan (nếu có).</w:t>
      </w:r>
    </w:p>
    <w:p>
      <w:pPr>
        <w:keepNext/>
        <w:widowControl/>
        <w:spacing w:after="120" w:before="80" w:line="312" w:lineRule="auto"/>
        <w:ind w:firstLine="0"/>
        <w:jc w:val="both"/>
      </w:pPr>
      <w:r>
        <w:rPr>
          <w:rFonts w:ascii="Times New Roman" w:hAnsi="Times New Roman" w:eastAsia="Times New Roman"/>
          <w:b/>
          <w:i w:val="0"/>
          <w:color w:val="000000"/>
          <w:sz w:val="26"/>
        </w:rPr>
        <w:t>3. Nội dung hồ sơ tổng mức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Cơ sở pháp lý lập dự án, xác định tổng mức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Tóm tắt nội dung thông tin cơ bản dự án, công trình; phạm vi, nội dung tổng mức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Giá trị tổng mức đầu tư: bao gồm các khoản mục chi phí theo công trình, hạng mục công trình thuộc dự án; các dự án thành phần, phân kỳ đầu tư (nếu có). So sánh với sơ bộ tổng mức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Kết luận về việc đủ điều kiện/chưa đủ điều kiện để thực hiện thẩm định.</w:t>
      </w:r>
    </w:p>
    <w:p>
      <w:pPr>
        <w:keepNext/>
        <w:widowControl/>
        <w:spacing w:after="120" w:before="80" w:line="312" w:lineRule="auto"/>
        <w:ind w:firstLine="0"/>
        <w:jc w:val="both"/>
      </w:pPr>
      <w:r>
        <w:rPr>
          <w:rFonts w:ascii="Times New Roman" w:hAnsi="Times New Roman" w:eastAsia="Times New Roman"/>
          <w:b/>
          <w:i w:val="0"/>
          <w:color w:val="000000"/>
          <w:sz w:val="26"/>
        </w:rPr>
        <w:t>4. Nguyên tắc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Phạm vi thẩm định, các nội dung không thực hiện thẩm định (nếu có), lý do....;</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Nguyên tắc thẩm định theo quy định tại khoản 5 Điều 7 Nghị định số 217/2026/NĐ-CP.</w:t>
      </w:r>
    </w:p>
    <w:p>
      <w:pPr>
        <w:keepNext/>
        <w:widowControl/>
        <w:spacing w:after="120" w:before="80" w:line="312" w:lineRule="auto"/>
        <w:ind w:firstLine="0"/>
        <w:jc w:val="both"/>
      </w:pPr>
      <w:r>
        <w:rPr>
          <w:rFonts w:ascii="Times New Roman" w:hAnsi="Times New Roman" w:eastAsia="Times New Roman"/>
          <w:b/>
          <w:i w:val="0"/>
          <w:color w:val="000000"/>
          <w:sz w:val="26"/>
        </w:rPr>
        <w:t>5. Nội dung thẩm định tổng mức đầu tư xây dựng</w:t>
      </w:r>
    </w:p>
    <w:p>
      <w:pPr>
        <w:keepNext w:val="0"/>
        <w:widowControl/>
        <w:spacing w:after="120" w:before="0" w:line="312" w:lineRule="auto"/>
        <w:ind w:firstLine="720"/>
        <w:jc w:val="both"/>
      </w:pPr>
      <w:r>
        <w:rPr>
          <w:rFonts w:ascii="Times New Roman" w:hAnsi="Times New Roman" w:eastAsia="Times New Roman"/>
          <w:b/>
          <w:i/>
          <w:color w:val="000000"/>
          <w:sz w:val="26"/>
        </w:rPr>
        <w:t>5.1. Sự đầy đủ, tính hợp lệ của hồ sơ trình thẩm định tổng mức đầu tư xây dựng; các căn cứ pháp lý để xác định tổng mức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5.1.1. Sự đầy đủ, tính hợp lệ của hồ sơ trình thẩm định tổng mức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5.1.2. Các căn cứ pháp lý để xác định tổng mức đầu tư xây dựng</w:t>
      </w:r>
    </w:p>
    <w:p>
      <w:pPr>
        <w:keepNext w:val="0"/>
        <w:widowControl/>
        <w:spacing w:after="120" w:before="0" w:line="312" w:lineRule="auto"/>
        <w:ind w:firstLine="720"/>
        <w:jc w:val="both"/>
      </w:pPr>
      <w:r>
        <w:rPr>
          <w:rFonts w:ascii="Times New Roman" w:hAnsi="Times New Roman" w:eastAsia="Times New Roman"/>
          <w:b/>
          <w:i/>
          <w:color w:val="000000"/>
          <w:sz w:val="26"/>
        </w:rPr>
        <w:t>5.2. Đánh giá sự đầy đủ các khoản mục chi phí trong tổng mức đầu tư xây dựng và phương pháp xác định các khoản mục chi phí trong tổng mức đầu tư xây dựng so với thiết kế xây dựng và các nội dung, yêu cầu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5.2.1. Sự đầy đủ các khoản mục chi phí trong tổng mức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5.2.2. Phương pháp xác định các khoản mục chi phí trong tổng mức đầu tư xây dựng so với thiết kế xây dựng và các nội dung, yêu cầu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a) Đối với chi phí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b) Đối với chi phí thiết bị.</w:t>
      </w:r>
    </w:p>
    <w:p>
      <w:pPr>
        <w:keepNext w:val="0"/>
        <w:widowControl/>
        <w:spacing w:after="120" w:before="0" w:line="312" w:lineRule="auto"/>
        <w:ind w:firstLine="720"/>
        <w:jc w:val="both"/>
      </w:pPr>
      <w:r>
        <w:rPr>
          <w:rFonts w:ascii="Times New Roman" w:hAnsi="Times New Roman" w:eastAsia="Times New Roman"/>
          <w:b w:val="0"/>
          <w:i w:val="0"/>
          <w:color w:val="000000"/>
          <w:sz w:val="26"/>
        </w:rPr>
        <w:t>c) Đối với chi phí quản lý dự án, chi phí tư vấn xây dựng, chi phí khác.</w:t>
      </w:r>
    </w:p>
    <w:p>
      <w:pPr>
        <w:keepNext w:val="0"/>
        <w:widowControl/>
        <w:spacing w:after="120" w:before="0" w:line="312" w:lineRule="auto"/>
        <w:ind w:firstLine="720"/>
        <w:jc w:val="both"/>
      </w:pPr>
      <w:r>
        <w:rPr>
          <w:rFonts w:ascii="Times New Roman" w:hAnsi="Times New Roman" w:eastAsia="Times New Roman"/>
          <w:b w:val="0"/>
          <w:i w:val="0"/>
          <w:color w:val="000000"/>
          <w:sz w:val="26"/>
        </w:rPr>
        <w:t>d) Đối với chi phí dự phòng.</w:t>
      </w:r>
    </w:p>
    <w:p>
      <w:pPr>
        <w:keepNext w:val="0"/>
        <w:widowControl/>
        <w:spacing w:after="120" w:before="0" w:line="312" w:lineRule="auto"/>
        <w:ind w:firstLine="720"/>
        <w:jc w:val="both"/>
      </w:pPr>
      <w:r>
        <w:rPr>
          <w:rFonts w:ascii="Times New Roman" w:hAnsi="Times New Roman" w:eastAsia="Times New Roman"/>
          <w:b w:val="0"/>
          <w:i w:val="0"/>
          <w:color w:val="000000"/>
          <w:sz w:val="26"/>
        </w:rPr>
        <w:t>e) Các nội dung khác (nếu có).</w:t>
      </w:r>
    </w:p>
    <w:p>
      <w:pPr>
        <w:keepNext w:val="0"/>
        <w:widowControl/>
        <w:spacing w:after="120" w:before="0" w:line="312" w:lineRule="auto"/>
        <w:ind w:firstLine="720"/>
        <w:jc w:val="both"/>
      </w:pPr>
      <w:r>
        <w:rPr>
          <w:rFonts w:ascii="Times New Roman" w:hAnsi="Times New Roman" w:eastAsia="Times New Roman"/>
          <w:b/>
          <w:i/>
          <w:color w:val="000000"/>
          <w:sz w:val="26"/>
        </w:rPr>
        <w:t>5.3. Yêu cầu về việc hoàn thiện hồ sơ và tổng mức đầu tư xây dựng (nếu có).</w:t>
      </w:r>
    </w:p>
    <w:p>
      <w:pPr>
        <w:keepNext/>
        <w:widowControl/>
        <w:spacing w:after="120" w:before="80" w:line="312" w:lineRule="auto"/>
        <w:ind w:firstLine="0"/>
        <w:jc w:val="both"/>
      </w:pPr>
      <w:r>
        <w:rPr>
          <w:rFonts w:ascii="Times New Roman" w:hAnsi="Times New Roman" w:eastAsia="Times New Roman"/>
          <w:b/>
          <w:i w:val="0"/>
          <w:color w:val="000000"/>
          <w:sz w:val="26"/>
        </w:rPr>
        <w:t>6. Kết luận và kiến nghị</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 xml:space="preserve">Kết luận: Hồ sơ và tổng mức đầu tư xây dựng </w:t>
      </w:r>
      <w:r>
        <w:rPr>
          <w:rFonts w:ascii="Times New Roman" w:hAnsi="Times New Roman" w:eastAsia="Times New Roman"/>
          <w:b w:val="0"/>
          <w:i/>
          <w:color w:val="000000"/>
          <w:sz w:val="26"/>
        </w:rPr>
        <w:t>(tên dự án/công trình của dự án)</w:t>
      </w:r>
      <w:r>
        <w:rPr>
          <w:rFonts w:ascii="Times New Roman" w:hAnsi="Times New Roman" w:eastAsia="Times New Roman"/>
          <w:b w:val="0"/>
          <w:i w:val="0"/>
          <w:color w:val="000000"/>
          <w:sz w:val="26"/>
        </w:rPr>
        <w:t xml:space="preserve"> đủ điều kiện/chưa đủ điều kiện/chỉ đủ điều kiện sau khi hoàn thiện các nội dung yêu cầu để tổng hợp, trình phê duyệt và triển khai các bước tiếp theo.</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Kiến nghị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Trên đây là thông báo của </w:t>
      </w:r>
      <w:r>
        <w:rPr>
          <w:rFonts w:ascii="Times New Roman" w:hAnsi="Times New Roman" w:eastAsia="Times New Roman"/>
          <w:b w:val="0"/>
          <w:i/>
          <w:color w:val="000000"/>
          <w:sz w:val="26"/>
        </w:rPr>
        <w:t>(cơ quan chuyên môn về xây dựng)</w:t>
      </w:r>
      <w:r>
        <w:rPr>
          <w:rFonts w:ascii="Times New Roman" w:hAnsi="Times New Roman" w:eastAsia="Times New Roman"/>
          <w:b w:val="0"/>
          <w:i w:val="0"/>
          <w:color w:val="000000"/>
          <w:sz w:val="26"/>
        </w:rPr>
        <w:t xml:space="preserve"> về kết quả thẩm định tổng mức đầu tư xây dựng dự án </w:t>
      </w:r>
      <w:r>
        <w:rPr>
          <w:rFonts w:ascii="Times New Roman" w:hAnsi="Times New Roman" w:eastAsia="Times New Roman"/>
          <w:b w:val="0"/>
          <w:i/>
          <w:color w:val="000000"/>
          <w:sz w:val="26"/>
        </w:rPr>
        <w:t>(tên dự án/công trình của dự án)</w:t>
      </w:r>
      <w:r>
        <w:rPr>
          <w:rFonts w:ascii="Times New Roman" w:hAnsi="Times New Roman" w:eastAsia="Times New Roman"/>
          <w:b w:val="0"/>
          <w:i w:val="0"/>
          <w:color w:val="000000"/>
          <w:sz w:val="26"/>
        </w:rPr>
        <w:t>. Đề nghị (</w:t>
      </w:r>
      <w:r>
        <w:rPr>
          <w:rFonts w:ascii="Times New Roman" w:hAnsi="Times New Roman" w:eastAsia="Times New Roman"/>
          <w:b w:val="0"/>
          <w:i/>
          <w:color w:val="000000"/>
          <w:sz w:val="26"/>
        </w:rPr>
        <w:t>cơ quan chuẩn bị dự án</w:t>
      </w:r>
      <w:r>
        <w:rPr>
          <w:rFonts w:ascii="Times New Roman" w:hAnsi="Times New Roman" w:eastAsia="Times New Roman"/>
          <w:b w:val="0"/>
          <w:i w:val="0"/>
          <w:color w:val="000000"/>
          <w:sz w:val="26"/>
        </w:rPr>
        <w:t>) nghiên cứu thực hiện theo quy định./.</w:t>
      </w:r>
    </w:p>
    <w:tbl>
      <w:tblPr>
        <w:tblW w:type="auto" w:w="0"/>
        <w:jc w:val="center"/>
        <w:tblLayout w:type="fixed"/>
        <w:tblLook w:firstColumn="1" w:firstRow="1" w:lastColumn="0" w:lastRow="0" w:noHBand="0" w:noVBand="1" w:val="04A0"/>
      </w:tblPr>
      <w:tblGrid>
        <w:gridCol w:w="4989"/>
        <w:gridCol w:w="4082"/>
      </w:tblGrid>
      <w:tr>
        <w:trPr>
          <w:cantSplit/>
        </w:trPr>
        <w:tc>
          <w:tcPr>
            <w:tcW w:type="dxa" w:w="4989"/>
            <w:vAlign w:val="top"/>
          </w:tcPr>
          <w:p>
            <w:pPr>
              <w:keepNext w:val="0"/>
              <w:widowControl/>
              <w:spacing w:after="560" w:before="0" w:line="264" w:lineRule="auto"/>
              <w:ind w:firstLine="0"/>
              <w:jc w:val="left"/>
            </w:pPr>
            <w:r>
              <w:rPr>
                <w:rFonts w:ascii="Times New Roman" w:hAnsi="Times New Roman" w:eastAsia="Times New Roman"/>
                <w:b/>
                <w:i/>
                <w:color w:val="000000"/>
                <w:sz w:val="24"/>
              </w:rPr>
              <w:t>Nơi nhận: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Như trên;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Lưu:...</w:t>
            </w:r>
          </w:p>
        </w:tc>
        <w:tc>
          <w:tcPr>
            <w:tcW w:type="dxa" w:w="4082"/>
            <w:vAlign w:val="top"/>
          </w:tcPr>
          <w:p>
            <w:pPr>
              <w:keepNext w:val="0"/>
              <w:widowControl/>
              <w:spacing w:after="560" w:before="0" w:line="264" w:lineRule="auto"/>
              <w:ind w:firstLine="0"/>
              <w:jc w:val="center"/>
            </w:pPr>
            <w:r>
              <w:rPr>
                <w:rFonts w:ascii="Times New Roman" w:hAnsi="Times New Roman" w:eastAsia="Times New Roman"/>
                <w:b/>
                <w:i w:val="0"/>
                <w:color w:val="000000"/>
                <w:sz w:val="26"/>
              </w:rPr>
              <w:t>CƠ QUAN CHUYÊN MÔN VỀ XÂY DỰNG</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val="0"/>
                <w:i/>
                <w:color w:val="000000"/>
                <w:sz w:val="24"/>
              </w:rPr>
              <w:t>(Ký, ghi rõ họ tên, chức vụ và đóng dấu)</w:t>
            </w:r>
          </w:p>
        </w:tc>
      </w:tr>
    </w:tbl>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1</w:t>
      </w:r>
      <w:r>
        <w:rPr>
          <w:rFonts w:ascii="Times New Roman" w:hAnsi="Times New Roman" w:eastAsia="Times New Roman"/>
          <w:b w:val="0"/>
          <w:i w:val="0"/>
          <w:color w:val="000000"/>
          <w:sz w:val="22"/>
        </w:rPr>
        <w:t xml:space="preserve"> Là Cơ quan thường trực Hội đồng trong trường hợp trình thẩm định BCNCKT tại Hội đồng thẩm định.</w:t>
      </w:r>
    </w:p>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02 – Thẩm định tổng mức đầu tư - cơ quan chuyên môn</dc:title>
  <dc:subject>Phụ lục VIII – 36/2026/TT-BXD</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