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4535"/>
        <w:gridCol w:w="4535"/>
      </w:tblGrid>
      <w:tr>
        <w:trPr>
          <w:cantSplit/>
        </w:trPr>
        <w:tc>
          <w:tcPr>
            <w:tcW w:type="dxa" w:w="4535"/>
            <w:vAlign w:val="top"/>
          </w:tcPr>
          <w:p>
            <w:pPr>
              <w:keepNext w:val="0"/>
              <w:widowControl/>
              <w:spacing w:after="120" w:before="0" w:line="264" w:lineRule="auto"/>
              <w:ind w:firstLine="0"/>
              <w:jc w:val="center"/>
            </w:pPr>
            <w:bookmarkStart w:id="1" w:name="buildsia_agency"/>
            <w:r>
              <w:rPr>
                <w:rFonts w:ascii="Times New Roman" w:hAnsi="Times New Roman" w:eastAsia="Times New Roman"/>
                <w:b/>
                <w:i w:val="0"/>
                <w:color w:val="000000"/>
                <w:sz w:val="26"/>
              </w:rPr>
              <w:t>CƠ QUAN/ĐƠN VỊ ĐƯỢC NGƯỜI QUYẾT ĐỊNH ĐẦU TƯ GIAO THẨM ĐỊNH</w:t>
            </w:r>
            <w:bookmarkEnd w:id="1"/>
            <w:r>
              <w:rPr>
                <w:rFonts w:ascii="Times New Roman" w:hAnsi="Times New Roman" w:eastAsia="Times New Roman"/>
                <w:b/>
                <w:i w:val="0"/>
                <w:color w:val="000000"/>
                <w:sz w:val="26"/>
                <w:vertAlign w:val="superscript"/>
              </w:rPr>
              <w:t>1</w:t>
            </w:r>
          </w:p>
          <w:p>
            <w:pPr>
              <w:keepNext w:val="0"/>
              <w:widowControl/>
              <w:spacing w:after="120" w:before="0" w:line="264" w:lineRule="auto"/>
              <w:ind w:firstLine="0"/>
              <w:jc w:val="center"/>
            </w:pPr>
            <w:bookmarkStart w:id="2" w:name="buildsia_number"/>
            <w:r>
              <w:rPr>
                <w:rFonts w:ascii="Times New Roman" w:hAnsi="Times New Roman" w:eastAsia="Times New Roman"/>
                <w:b w:val="0"/>
                <w:i w:val="0"/>
                <w:color w:val="000000"/>
                <w:sz w:val="26"/>
              </w:rPr>
              <w:t>(Số hiệu văn bản)</w:t>
            </w:r>
            <w:bookmarkEnd w:id="2"/>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t xml:space="preserve">V/v Thông báo kết quả thẩm định tổng mức đầu tư xây dựng dự án </w:t>
            </w:r>
            <w:r>
              <w:rPr>
                <w:rFonts w:ascii="Times New Roman" w:hAnsi="Times New Roman" w:eastAsia="Times New Roman"/>
                <w:b w:val="0"/>
                <w:i/>
                <w:color w:val="000000"/>
                <w:sz w:val="26"/>
              </w:rPr>
              <w:t>(tên dự án/công trình của dự án)</w:t>
            </w:r>
          </w:p>
        </w:tc>
        <w:tc>
          <w:tcPr>
            <w:tcW w:type="dxa" w:w="4535"/>
            <w:vAlign w:val="top"/>
          </w:tcPr>
          <w:p>
            <w:pPr>
              <w:keepNext w:val="0"/>
              <w:widowControl/>
              <w:spacing w:after="120" w:before="0" w:line="264" w:lineRule="auto"/>
              <w:ind w:firstLine="0"/>
              <w:jc w:val="center"/>
            </w:pPr>
            <w:r>
              <w:rPr>
                <w:rFonts w:ascii="Times New Roman" w:hAnsi="Times New Roman" w:eastAsia="Times New Roman"/>
                <w:b/>
                <w:i w:val="0"/>
                <w:color w:val="000000"/>
                <w:sz w:val="24"/>
              </w:rPr>
              <w:t>CỘNG HÒA XÃ HỘI CHỦ NGHĨA VIỆT NAM</w:t>
            </w:r>
          </w:p>
          <w:p>
            <w:pPr>
              <w:keepNext w:val="0"/>
              <w:widowControl/>
              <w:spacing w:after="120" w:before="0" w:line="264" w:lineRule="auto"/>
              <w:ind w:firstLine="0"/>
              <w:jc w:val="center"/>
            </w:pPr>
            <w:r>
              <w:rPr>
                <w:rFonts w:ascii="Times New Roman" w:hAnsi="Times New Roman" w:eastAsia="Times New Roman"/>
                <w:b/>
                <w:i w:val="0"/>
                <w:color w:val="000000"/>
                <w:sz w:val="26"/>
              </w:rPr>
              <w:t>Độc lập - Tự do - Hạnh phúc</w:t>
            </w:r>
            <w:r>
              <w:rPr>
                <w:rFonts w:ascii="Times New Roman" w:hAnsi="Times New Roman" w:eastAsia="Times New Roman"/>
                <w:b/>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i w:val="0"/>
                <w:color w:val="000000"/>
                <w:sz w:val="26"/>
              </w:rPr>
            </w:r>
            <w:r>
              <w:rPr>
                <w:rFonts w:ascii="Times New Roman" w:hAnsi="Times New Roman" w:eastAsia="Times New Roman"/>
                <w:b/>
                <w:i w:val="0"/>
                <w:color w:val="000000"/>
                <w:sz w:val="26"/>
              </w:rPr>
              <w:t>---------------------------------</w:t>
            </w:r>
          </w:p>
          <w:p>
            <w:pPr>
              <w:keepNext w:val="0"/>
              <w:widowControl/>
              <w:spacing w:after="120" w:before="0" w:line="264" w:lineRule="auto"/>
              <w:ind w:firstLine="0"/>
              <w:jc w:val="center"/>
            </w:pPr>
            <w:bookmarkStart w:id="3" w:name="buildsia_date"/>
            <w:r>
              <w:rPr>
                <w:rFonts w:ascii="Times New Roman" w:hAnsi="Times New Roman" w:eastAsia="Times New Roman"/>
                <w:b w:val="0"/>
                <w:i w:val="0"/>
                <w:color w:val="000000"/>
                <w:sz w:val="26"/>
              </w:rPr>
              <w:t>…, ngày... tháng... năm…</w:t>
            </w:r>
            <w:bookmarkEnd w:id="3"/>
          </w:p>
        </w:tc>
      </w:tr>
    </w:tbl>
    <w:p>
      <w:pPr>
        <w:keepNext w:val="0"/>
        <w:widowControl/>
        <w:spacing w:after="120" w:before="0" w:line="312" w:lineRule="auto"/>
        <w:ind w:firstLine="0"/>
        <w:jc w:val="center"/>
      </w:pPr>
      <w:bookmarkStart w:id="4" w:name="buildsia_recipient"/>
      <w:r>
        <w:rPr>
          <w:rFonts w:ascii="Times New Roman" w:hAnsi="Times New Roman" w:eastAsia="Times New Roman"/>
          <w:b w:val="0"/>
          <w:i w:val="0"/>
          <w:color w:val="000000"/>
          <w:sz w:val="26"/>
        </w:rPr>
        <w:t xml:space="preserve">Kính gửi: </w:t>
      </w:r>
      <w:r>
        <w:rPr>
          <w:rFonts w:ascii="Times New Roman" w:hAnsi="Times New Roman" w:eastAsia="Times New Roman"/>
          <w:b w:val="0"/>
          <w:i/>
          <w:color w:val="000000"/>
          <w:sz w:val="26"/>
        </w:rPr>
        <w:t>(Cơ quan chuẩn bị dự án)</w:t>
      </w:r>
      <w:bookmarkEnd w:id="4"/>
    </w:p>
    <w:p>
      <w:pPr>
        <w:keepNext w:val="0"/>
        <w:widowControl/>
        <w:spacing w:after="120" w:before="0" w:line="312" w:lineRule="auto"/>
        <w:ind w:firstLine="720"/>
        <w:jc w:val="both"/>
      </w:pPr>
      <w:r>
        <w:rPr>
          <w:rFonts w:ascii="Times New Roman" w:hAnsi="Times New Roman" w:eastAsia="Times New Roman"/>
          <w:b w:val="0"/>
          <w:i w:val="0"/>
          <w:color w:val="000000"/>
          <w:sz w:val="26"/>
        </w:rPr>
        <w:t>(</w:t>
      </w:r>
      <w:r>
        <w:rPr>
          <w:rFonts w:ascii="Times New Roman" w:hAnsi="Times New Roman" w:eastAsia="Times New Roman"/>
          <w:b w:val="0"/>
          <w:i/>
          <w:color w:val="000000"/>
          <w:sz w:val="26"/>
        </w:rPr>
        <w:t>Cơ quan/Đơn vị được Người quyết định đầu tư giao thẩm định</w:t>
      </w:r>
      <w:r>
        <w:rPr>
          <w:rFonts w:ascii="Times New Roman" w:hAnsi="Times New Roman" w:eastAsia="Times New Roman"/>
          <w:b w:val="0"/>
          <w:i w:val="0"/>
          <w:color w:val="000000"/>
          <w:sz w:val="26"/>
        </w:rPr>
        <w:t>) đã nhận văn bản số … ngày … tháng … năm … của (</w:t>
      </w:r>
      <w:r>
        <w:rPr>
          <w:rFonts w:ascii="Times New Roman" w:hAnsi="Times New Roman" w:eastAsia="Times New Roman"/>
          <w:b w:val="0"/>
          <w:i/>
          <w:color w:val="000000"/>
          <w:sz w:val="26"/>
        </w:rPr>
        <w:t>cơ quan chuẩn bị dự án</w:t>
      </w:r>
      <w:r>
        <w:rPr>
          <w:rFonts w:ascii="Times New Roman" w:hAnsi="Times New Roman" w:eastAsia="Times New Roman"/>
          <w:b w:val="0"/>
          <w:i w:val="0"/>
          <w:color w:val="000000"/>
          <w:sz w:val="26"/>
        </w:rPr>
        <w:t xml:space="preserve">) đề nghị thẩm định tổng mức đầu tư xây dựng dự án </w:t>
      </w:r>
      <w:r>
        <w:rPr>
          <w:rFonts w:ascii="Times New Roman" w:hAnsi="Times New Roman" w:eastAsia="Times New Roman"/>
          <w:b w:val="0"/>
          <w:i/>
          <w:color w:val="000000"/>
          <w:sz w:val="26"/>
        </w:rPr>
        <w:t>(tên dự án).</w:t>
      </w:r>
    </w:p>
    <w:p>
      <w:pPr>
        <w:keepNext w:val="0"/>
        <w:widowControl/>
        <w:spacing w:after="120" w:before="0" w:line="312" w:lineRule="auto"/>
        <w:ind w:firstLine="720"/>
        <w:jc w:val="both"/>
      </w:pPr>
      <w:r>
        <w:rPr>
          <w:rFonts w:ascii="Times New Roman" w:hAnsi="Times New Roman" w:eastAsia="Times New Roman"/>
          <w:b w:val="0"/>
          <w:i w:val="0"/>
          <w:color w:val="000000"/>
          <w:sz w:val="26"/>
        </w:rPr>
        <w:t>Căn cứ quy định về thẩm quyền, nội dung thẩm định dự án, tổng mức đầu tư tại Luật Xây dựng số 135/2025/QH15 ngày 10 tháng 12 năm 2025; Nghị định số 217/2026/NĐ-CP ngày 19 tháng 6 năm 2026; Nghị định số 206/2026/NĐ-CP ngày 15 tháng 06 năm 2026 của Chính phủ quy định chi tiết về quản lý chi phí đầu tư xây dựng;</w:t>
      </w:r>
    </w:p>
    <w:p>
      <w:pPr>
        <w:keepNext w:val="0"/>
        <w:widowControl/>
        <w:spacing w:after="120" w:before="0" w:line="312" w:lineRule="auto"/>
        <w:ind w:firstLine="720"/>
        <w:jc w:val="both"/>
      </w:pPr>
      <w:r>
        <w:rPr>
          <w:rFonts w:ascii="Times New Roman" w:hAnsi="Times New Roman" w:eastAsia="Times New Roman"/>
          <w:b w:val="0"/>
          <w:i w:val="0"/>
          <w:color w:val="000000"/>
          <w:sz w:val="26"/>
        </w:rPr>
        <w:t>Các căn cứ pháp lý khác có liên quan.</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Sau khi xem xét, </w:t>
      </w:r>
      <w:r>
        <w:rPr>
          <w:rFonts w:ascii="Times New Roman" w:hAnsi="Times New Roman" w:eastAsia="Times New Roman"/>
          <w:b w:val="0"/>
          <w:i/>
          <w:color w:val="000000"/>
          <w:sz w:val="26"/>
        </w:rPr>
        <w:t>(Cơ quan/Đơn vị được Người quyết định đầu tư giao thẩm định)</w:t>
      </w:r>
      <w:r>
        <w:rPr>
          <w:rFonts w:ascii="Times New Roman" w:hAnsi="Times New Roman" w:eastAsia="Times New Roman"/>
          <w:b w:val="0"/>
          <w:i/>
          <w:color w:val="000000"/>
          <w:sz w:val="26"/>
        </w:rPr>
        <w:t xml:space="preserve"> thông báo kết quả thẩm định tổng mức đầu tư xây dựng dự án</w:t>
      </w:r>
      <w:r>
        <w:rPr>
          <w:rFonts w:ascii="Times New Roman" w:hAnsi="Times New Roman" w:eastAsia="Times New Roman"/>
          <w:b w:val="0"/>
          <w:i/>
          <w:color w:val="000000"/>
          <w:sz w:val="26"/>
        </w:rPr>
        <w:t xml:space="preserve"> (tên dự án)</w:t>
      </w:r>
      <w:r>
        <w:rPr>
          <w:rFonts w:ascii="Times New Roman" w:hAnsi="Times New Roman" w:eastAsia="Times New Roman"/>
          <w:b w:val="0"/>
          <w:i w:val="0"/>
          <w:color w:val="000000"/>
          <w:sz w:val="26"/>
        </w:rPr>
        <w:t xml:space="preserve"> như sau:</w:t>
      </w:r>
    </w:p>
    <w:p>
      <w:pPr>
        <w:keepNext/>
        <w:widowControl/>
        <w:spacing w:after="120" w:before="80" w:line="312" w:lineRule="auto"/>
        <w:ind w:firstLine="0"/>
        <w:jc w:val="both"/>
      </w:pPr>
      <w:r>
        <w:rPr>
          <w:rFonts w:ascii="Times New Roman" w:hAnsi="Times New Roman" w:eastAsia="Times New Roman"/>
          <w:b/>
          <w:i w:val="0"/>
          <w:color w:val="000000"/>
          <w:sz w:val="26"/>
        </w:rPr>
        <w:t>1. Khái quát về dự án</w:t>
      </w:r>
    </w:p>
    <w:p>
      <w:pPr>
        <w:keepNext w:val="0"/>
        <w:widowControl/>
        <w:spacing w:after="120" w:before="0" w:line="312" w:lineRule="auto"/>
        <w:ind w:firstLine="720"/>
        <w:jc w:val="both"/>
      </w:pPr>
      <w:bookmarkStart w:id="5" w:name="buildsia_project"/>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Tên dự án/dự án thành phần thuộc dự án:</w:t>
      </w:r>
      <w:bookmarkEnd w:id="5"/>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Nhóm dự án, loại và cấp công trình chính của dự án:</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Mã định danh (nếu có):</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Quy mô đầu tư xây dựng: một số chỉ tiêu, thông số chính thể hiện quy mô của dự án.</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Người quyết định đầu tư:</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 xml:space="preserve">Tên cơ quan chuẩn bị dự án và các thông tin để liên hệ </w:t>
      </w:r>
      <w:r>
        <w:rPr>
          <w:rFonts w:ascii="Times New Roman" w:hAnsi="Times New Roman" w:eastAsia="Times New Roman"/>
          <w:b w:val="0"/>
          <w:i/>
          <w:color w:val="000000"/>
          <w:sz w:val="26"/>
        </w:rPr>
        <w:t>(địa chỉ, điện thoại, …):</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Địa điểm xây dựng dự án: (</w:t>
      </w:r>
      <w:r>
        <w:rPr>
          <w:rFonts w:ascii="Times New Roman" w:hAnsi="Times New Roman" w:eastAsia="Times New Roman"/>
          <w:b w:val="0"/>
          <w:i/>
          <w:color w:val="000000"/>
          <w:sz w:val="26"/>
        </w:rPr>
        <w:t>ghi địa danh cấp xã, tỉnh</w:t>
      </w:r>
      <w:r>
        <w:rPr>
          <w:rFonts w:ascii="Times New Roman" w:hAnsi="Times New Roman" w:eastAsia="Times New Roman"/>
          <w:b w:val="0"/>
          <w:i w:val="0"/>
          <w:color w:val="000000"/>
          <w:sz w:val="26"/>
        </w:rPr>
        <w:t>)</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Giá trị tổng mức đầu tư xây dựng của dự án:</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Nguồn vốn đầu tư: (xác định và ghi rõ: vốn đầu tư công/vốn chi thường xuyên từ ngân sách nhà nước/vốn ngân sách nhà nước khác/vốn khác/thực hiện theo phương thức PPP).</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Thời gian thực hiện dự án; phân kỳ đầu tư (nếu có); thời hạn hoạt động của dự án (nếu có):</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Các nhà thầu tư vấn khảo sát, lập dự án, thiết kế, thẩm tra (nếu có): (</w:t>
      </w:r>
      <w:r>
        <w:rPr>
          <w:rFonts w:ascii="Times New Roman" w:hAnsi="Times New Roman" w:eastAsia="Times New Roman"/>
          <w:b w:val="0"/>
          <w:i/>
          <w:color w:val="000000"/>
          <w:sz w:val="26"/>
        </w:rPr>
        <w:t>tên nhà thầu, mã số doanh nghiệp</w:t>
      </w:r>
      <w:r>
        <w:rPr>
          <w:rFonts w:ascii="Times New Roman" w:hAnsi="Times New Roman" w:eastAsia="Times New Roman"/>
          <w:b w:val="0"/>
          <w:i w:val="0"/>
          <w:color w:val="000000"/>
          <w:sz w:val="26"/>
        </w:rPr>
        <w:t>);</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Các thông tin khác (nếu có).</w:t>
      </w:r>
    </w:p>
    <w:p>
      <w:pPr>
        <w:keepNext/>
        <w:widowControl/>
        <w:spacing w:after="120" w:before="80" w:line="312" w:lineRule="auto"/>
        <w:ind w:firstLine="0"/>
        <w:jc w:val="both"/>
      </w:pPr>
      <w:r>
        <w:rPr>
          <w:rFonts w:ascii="Times New Roman" w:hAnsi="Times New Roman" w:eastAsia="Times New Roman"/>
          <w:b/>
          <w:i w:val="0"/>
          <w:color w:val="000000"/>
          <w:sz w:val="26"/>
        </w:rPr>
        <w:t>2. Hồ sơ trình thẩm định</w:t>
      </w:r>
    </w:p>
    <w:p>
      <w:pPr>
        <w:keepNext w:val="0"/>
        <w:widowControl/>
        <w:spacing w:after="120" w:before="0" w:line="312" w:lineRule="auto"/>
        <w:ind w:firstLine="720"/>
        <w:jc w:val="both"/>
      </w:pPr>
      <w:r>
        <w:rPr>
          <w:rFonts w:ascii="Times New Roman" w:hAnsi="Times New Roman" w:eastAsia="Times New Roman"/>
          <w:b/>
          <w:i/>
          <w:color w:val="000000"/>
          <w:sz w:val="26"/>
        </w:rPr>
        <w:t>2.1. Văn bản pháp lý</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Tờ trình thẩm định;</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Văn bản về chủ trương đầu tư xây dựng dự án;</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Các văn bản cơ sở pháp lý liên quan đến dự án, xác định tổng mức đầu tư: Luật, Nghị định, Thông tư; các văn bản, tài liệu khác có liên quan đến dự án…</w:t>
      </w:r>
    </w:p>
    <w:p>
      <w:pPr>
        <w:keepNext w:val="0"/>
        <w:widowControl/>
        <w:spacing w:after="120" w:before="0" w:line="312" w:lineRule="auto"/>
        <w:ind w:firstLine="720"/>
        <w:jc w:val="both"/>
      </w:pPr>
      <w:r>
        <w:rPr>
          <w:rFonts w:ascii="Times New Roman" w:hAnsi="Times New Roman" w:eastAsia="Times New Roman"/>
          <w:b w:val="0"/>
          <w:i/>
          <w:color w:val="000000"/>
          <w:sz w:val="26"/>
        </w:rPr>
        <w:t>(Liệt kê các văn bản pháp lý có liên quan của dự án)</w:t>
      </w:r>
    </w:p>
    <w:p>
      <w:pPr>
        <w:keepNext w:val="0"/>
        <w:widowControl/>
        <w:spacing w:after="120" w:before="0" w:line="312" w:lineRule="auto"/>
        <w:ind w:firstLine="720"/>
        <w:jc w:val="both"/>
      </w:pPr>
      <w:r>
        <w:rPr>
          <w:rFonts w:ascii="Times New Roman" w:hAnsi="Times New Roman" w:eastAsia="Times New Roman"/>
          <w:b/>
          <w:i/>
          <w:color w:val="000000"/>
          <w:sz w:val="26"/>
        </w:rPr>
        <w:t>2.2. Hồ sơ, tài liệu trình thẩm định</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Hồ sơ dự án (bao gồm thuyết minh BCNCKT, thuyết minh thiết kế xây dựng, thiết kế xây dựng trong BCNCKT) được hoàn thiện theo ý kiến thẩm tra (nếu có), ý kiến thẩm định của cơ quan chuyên môn về xây dựng.</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Hồ sơ xác định tổng mức đầu tư (gồm thuyết minh xác định tổng mức đầu tư, chi tiết tính toán tổng mức đầu tư và các tài liệu có liên quan để xác định tổng mức đầu tư) được hoàn thiện theo ý kiến thẩm tra (nếu có), ý kiến thẩm định của cơ quan chuyên môn về xây dựng, kèm theo nội dung kiểm tra, rà soát, thẩm định hồ sơ tổng mức đầu tư của cơ quan chuẩn bị dự án trước khi trình thẩm định.</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 xml:space="preserve">Văn bản số …. của </w:t>
      </w:r>
      <w:r>
        <w:rPr>
          <w:rFonts w:ascii="Times New Roman" w:hAnsi="Times New Roman" w:eastAsia="Times New Roman"/>
          <w:b w:val="0"/>
          <w:i/>
          <w:color w:val="000000"/>
          <w:sz w:val="26"/>
        </w:rPr>
        <w:t>(cơ quan chuyên môn về xây dựng) (nếu có)</w:t>
      </w:r>
      <w:r>
        <w:rPr>
          <w:rFonts w:ascii="Times New Roman" w:hAnsi="Times New Roman" w:eastAsia="Times New Roman"/>
          <w:b w:val="0"/>
          <w:i w:val="0"/>
          <w:color w:val="000000"/>
          <w:sz w:val="26"/>
        </w:rPr>
        <w:t xml:space="preserve"> về việc thông báo kết quả thẩm định Báo cáo nghiên cứu khả thi dự án (BCNCKT) </w:t>
      </w:r>
      <w:r>
        <w:rPr>
          <w:rFonts w:ascii="Times New Roman" w:hAnsi="Times New Roman" w:eastAsia="Times New Roman"/>
          <w:b w:val="0"/>
          <w:i/>
          <w:color w:val="000000"/>
          <w:sz w:val="26"/>
        </w:rPr>
        <w:t>(tên dự án</w:t>
      </w:r>
      <w:r>
        <w:rPr>
          <w:rFonts w:ascii="Times New Roman" w:hAnsi="Times New Roman" w:eastAsia="Times New Roman"/>
          <w:b w:val="0"/>
          <w:i w:val="0"/>
          <w:color w:val="000000"/>
          <w:sz w:val="26"/>
        </w:rPr>
        <w:t>);</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Báo cáo kết quả thẩm tra tổng mức đầu tư xây dựng (nếu có);</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Kết quả thẩm định thiết kế xây dựng trong BCNCKT;</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Các hồ sơ, tài liệu khác có liên quan (nếu có).</w:t>
      </w:r>
    </w:p>
    <w:p>
      <w:pPr>
        <w:keepNext/>
        <w:widowControl/>
        <w:spacing w:after="120" w:before="80" w:line="312" w:lineRule="auto"/>
        <w:ind w:firstLine="0"/>
        <w:jc w:val="both"/>
      </w:pPr>
      <w:r>
        <w:rPr>
          <w:rFonts w:ascii="Times New Roman" w:hAnsi="Times New Roman" w:eastAsia="Times New Roman"/>
          <w:b/>
          <w:i w:val="0"/>
          <w:color w:val="000000"/>
          <w:sz w:val="26"/>
        </w:rPr>
        <w:t>3. Nội dung hồ sơ tổng mức đầu tư xây dựng</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Cơ sở pháp lý lập dự án, xác định tổng mức đầu tư;</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Tóm tắt nội dung thông tin cơ bản dự án, công trình; phạm vi, nội dung tổng mức đầu tư xây dựng</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Giá trị tổng mức đầu tư: bao gồm các khoản mục chi phí theo công trình, hạng mục công trình thuộc dự án; các dự án thành phần, phân kỳ đầu tư (nếu có).</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Kết luận về việc đủ điều kiện/chưa đủ điều kiện để thực hiện thẩm định.</w:t>
      </w:r>
    </w:p>
    <w:p>
      <w:pPr>
        <w:keepNext/>
        <w:widowControl/>
        <w:spacing w:after="120" w:before="80" w:line="312" w:lineRule="auto"/>
        <w:ind w:firstLine="0"/>
        <w:jc w:val="both"/>
      </w:pPr>
      <w:r>
        <w:rPr>
          <w:rFonts w:ascii="Times New Roman" w:hAnsi="Times New Roman" w:eastAsia="Times New Roman"/>
          <w:b/>
          <w:i w:val="0"/>
          <w:color w:val="000000"/>
          <w:sz w:val="26"/>
        </w:rPr>
        <w:t>4. Nguyên tắc thẩm định</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Phạm vi thẩm định, các nội dung không thực hiện thẩm định (nếu có), lý do....;</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Nguyên tắc thẩm định theo quy định tại khoản 5 Điều 7 Nghị định số 217/2026/NĐ-CP.</w:t>
      </w:r>
    </w:p>
    <w:p>
      <w:pPr>
        <w:keepNext/>
        <w:widowControl/>
        <w:spacing w:after="120" w:before="80" w:line="312" w:lineRule="auto"/>
        <w:ind w:firstLine="0"/>
        <w:jc w:val="both"/>
      </w:pPr>
      <w:r>
        <w:rPr>
          <w:rFonts w:ascii="Times New Roman" w:hAnsi="Times New Roman" w:eastAsia="Times New Roman"/>
          <w:b/>
          <w:i w:val="0"/>
          <w:color w:val="000000"/>
          <w:sz w:val="26"/>
        </w:rPr>
        <w:t>5. Nội dung thẩm định tổng mức đầu tư xây dựng</w:t>
      </w:r>
    </w:p>
    <w:p>
      <w:pPr>
        <w:keepNext w:val="0"/>
        <w:widowControl/>
        <w:spacing w:after="120" w:before="0" w:line="312" w:lineRule="auto"/>
        <w:ind w:firstLine="720"/>
        <w:jc w:val="both"/>
      </w:pPr>
      <w:r>
        <w:rPr>
          <w:rFonts w:ascii="Times New Roman" w:hAnsi="Times New Roman" w:eastAsia="Times New Roman"/>
          <w:b w:val="0"/>
          <w:i w:val="0"/>
          <w:color w:val="000000"/>
          <w:sz w:val="26"/>
        </w:rPr>
        <w:t>5.1. Sự đầy đủ, tính hợp lệ của hồ sơ trình thẩm định tổng mức đầu tư xây dựng</w:t>
      </w:r>
    </w:p>
    <w:p>
      <w:pPr>
        <w:keepNext w:val="0"/>
        <w:widowControl/>
        <w:spacing w:after="120" w:before="0" w:line="312" w:lineRule="auto"/>
        <w:ind w:firstLine="720"/>
        <w:jc w:val="both"/>
      </w:pPr>
      <w:r>
        <w:rPr>
          <w:rFonts w:ascii="Times New Roman" w:hAnsi="Times New Roman" w:eastAsia="Times New Roman"/>
          <w:b w:val="0"/>
          <w:i w:val="0"/>
          <w:color w:val="000000"/>
          <w:sz w:val="26"/>
        </w:rPr>
        <w:t>5.2. Kiểm tra kết quả hoàn thiện tổng mức đầu tư xây dựng và nội dung tiếp thu, giải trình của chủ đầu tư theo yêu cầu của cơ quan chuyên môn về xây dựng (nếu có), đơn vị tư vấn thẩm tra (nếu có);</w:t>
      </w:r>
    </w:p>
    <w:p>
      <w:pPr>
        <w:keepNext w:val="0"/>
        <w:widowControl/>
        <w:spacing w:after="120" w:before="0" w:line="312" w:lineRule="auto"/>
        <w:ind w:firstLine="720"/>
        <w:jc w:val="both"/>
      </w:pPr>
      <w:r>
        <w:rPr>
          <w:rFonts w:ascii="Times New Roman" w:hAnsi="Times New Roman" w:eastAsia="Times New Roman"/>
          <w:b w:val="0"/>
          <w:i w:val="0"/>
          <w:color w:val="000000"/>
          <w:sz w:val="26"/>
        </w:rPr>
        <w:t>5.3. Sự phù hợp tổng mức đầu tư xây dựng so với sơ bộ tổng mức đầu tư xây dựng và nội dung, yêu cầu của dự án;</w:t>
      </w:r>
    </w:p>
    <w:p>
      <w:pPr>
        <w:keepNext w:val="0"/>
        <w:widowControl/>
        <w:spacing w:after="120" w:before="0" w:line="312" w:lineRule="auto"/>
        <w:ind w:firstLine="720"/>
        <w:jc w:val="both"/>
      </w:pPr>
      <w:r>
        <w:rPr>
          <w:rFonts w:ascii="Times New Roman" w:hAnsi="Times New Roman" w:eastAsia="Times New Roman"/>
          <w:b w:val="0"/>
          <w:i w:val="0"/>
          <w:color w:val="000000"/>
          <w:sz w:val="26"/>
        </w:rPr>
        <w:t>5.4. Yêu cầu chủ đầu tư hoàn thiện hồ sơ và tổng mức đầu tư xây dựng để trình người quyết định đầu tư phê duyệt.</w:t>
      </w:r>
    </w:p>
    <w:p>
      <w:pPr>
        <w:keepNext/>
        <w:widowControl/>
        <w:spacing w:after="120" w:before="80" w:line="312" w:lineRule="auto"/>
        <w:ind w:firstLine="0"/>
        <w:jc w:val="both"/>
      </w:pPr>
      <w:r>
        <w:rPr>
          <w:rFonts w:ascii="Times New Roman" w:hAnsi="Times New Roman" w:eastAsia="Times New Roman"/>
          <w:b/>
          <w:i w:val="0"/>
          <w:color w:val="000000"/>
          <w:sz w:val="26"/>
        </w:rPr>
        <w:t>6. Kết luận và kiến nghị</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Hồ sơ và tổng mức đầu tư xây dựng (tên dự án) đủ điều kiện/chưa đủ điều kiện/chỉ đủ điều kiện sau khi hoàn thiện các nội dung yêu cầu để tổng hợp, trình phê duyệt và triển khai các bước tiếp theo.</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 </w:t>
      </w:r>
      <w:r>
        <w:rPr>
          <w:rFonts w:ascii="Times New Roman" w:hAnsi="Times New Roman" w:eastAsia="Times New Roman"/>
          <w:b w:val="0"/>
          <w:i w:val="0"/>
          <w:color w:val="000000"/>
          <w:sz w:val="26"/>
        </w:rPr>
        <w:t>Kiến nghị (nếu có).</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Trên đây là thông báo của </w:t>
      </w:r>
      <w:r>
        <w:rPr>
          <w:rFonts w:ascii="Times New Roman" w:hAnsi="Times New Roman" w:eastAsia="Times New Roman"/>
          <w:b w:val="0"/>
          <w:i/>
          <w:color w:val="000000"/>
          <w:sz w:val="26"/>
        </w:rPr>
        <w:t>(Cơ quan/Đơn vị được Người quyết định đầu tư giao thẩm định)</w:t>
      </w:r>
      <w:r>
        <w:rPr>
          <w:rFonts w:ascii="Times New Roman" w:hAnsi="Times New Roman" w:eastAsia="Times New Roman"/>
          <w:b w:val="0"/>
          <w:i/>
          <w:color w:val="000000"/>
          <w:sz w:val="26"/>
        </w:rPr>
        <w:t xml:space="preserve"> về kết quả thẩm định tổng mức đầu tư xây dựng dự án</w:t>
      </w:r>
      <w:r>
        <w:rPr>
          <w:rFonts w:ascii="Times New Roman" w:hAnsi="Times New Roman" w:eastAsia="Times New Roman"/>
          <w:b w:val="0"/>
          <w:i/>
          <w:color w:val="000000"/>
          <w:sz w:val="26"/>
        </w:rPr>
        <w:t xml:space="preserve"> (tên dự án)</w:t>
      </w:r>
      <w:r>
        <w:rPr>
          <w:rFonts w:ascii="Times New Roman" w:hAnsi="Times New Roman" w:eastAsia="Times New Roman"/>
          <w:b w:val="0"/>
          <w:i w:val="0"/>
          <w:color w:val="000000"/>
          <w:sz w:val="26"/>
        </w:rPr>
        <w:t>. Đề nghị (</w:t>
      </w:r>
      <w:r>
        <w:rPr>
          <w:rFonts w:ascii="Times New Roman" w:hAnsi="Times New Roman" w:eastAsia="Times New Roman"/>
          <w:b w:val="0"/>
          <w:i/>
          <w:color w:val="000000"/>
          <w:sz w:val="26"/>
        </w:rPr>
        <w:t>cơ quan chuẩn bị dự án</w:t>
      </w:r>
      <w:r>
        <w:rPr>
          <w:rFonts w:ascii="Times New Roman" w:hAnsi="Times New Roman" w:eastAsia="Times New Roman"/>
          <w:b w:val="0"/>
          <w:i w:val="0"/>
          <w:color w:val="000000"/>
          <w:sz w:val="26"/>
        </w:rPr>
        <w:t>) nghiên cứu thực hiện theo quy định./.</w:t>
      </w:r>
    </w:p>
    <w:tbl>
      <w:tblPr>
        <w:tblW w:type="auto" w:w="0"/>
        <w:jc w:val="center"/>
        <w:tblLayout w:type="fixed"/>
        <w:tblLook w:firstColumn="1" w:firstRow="1" w:lastColumn="0" w:lastRow="0" w:noHBand="0" w:noVBand="1" w:val="04A0"/>
      </w:tblPr>
      <w:tblGrid>
        <w:gridCol w:w="4989"/>
        <w:gridCol w:w="4082"/>
      </w:tblGrid>
      <w:tr>
        <w:trPr>
          <w:cantSplit/>
        </w:trPr>
        <w:tc>
          <w:tcPr>
            <w:tcW w:type="dxa" w:w="4989"/>
            <w:vAlign w:val="top"/>
          </w:tcPr>
          <w:p>
            <w:pPr>
              <w:keepNext w:val="0"/>
              <w:widowControl/>
              <w:spacing w:after="560" w:before="0" w:line="264" w:lineRule="auto"/>
              <w:ind w:firstLine="0"/>
              <w:jc w:val="left"/>
            </w:pPr>
            <w:r>
              <w:rPr>
                <w:rFonts w:ascii="Times New Roman" w:hAnsi="Times New Roman" w:eastAsia="Times New Roman"/>
                <w:b/>
                <w:i/>
                <w:color w:val="000000"/>
                <w:sz w:val="24"/>
              </w:rPr>
              <w:t>Nơi nhận:</w:t>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br/>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t>- Như trên;</w:t>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br/>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t>- …;</w:t>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br/>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t>- Lưu.</w:t>
            </w:r>
          </w:p>
        </w:tc>
        <w:tc>
          <w:tcPr>
            <w:tcW w:type="dxa" w:w="4082"/>
            <w:vAlign w:val="top"/>
          </w:tcPr>
          <w:p>
            <w:pPr>
              <w:keepNext w:val="0"/>
              <w:widowControl/>
              <w:spacing w:after="560" w:before="0" w:line="264" w:lineRule="auto"/>
              <w:ind w:firstLine="0"/>
              <w:jc w:val="center"/>
            </w:pPr>
            <w:r>
              <w:rPr>
                <w:rFonts w:ascii="Times New Roman" w:hAnsi="Times New Roman" w:eastAsia="Times New Roman"/>
                <w:b/>
                <w:i w:val="0"/>
                <w:color w:val="000000"/>
                <w:sz w:val="26"/>
              </w:rPr>
              <w:t>CƠ QUAN/ĐƠN VỊ ĐƯỢC NGƯỜI QUYẾT ĐỊNH ĐẦU TƯ GIAO THẨM ĐỊNH</w:t>
            </w:r>
            <w:r>
              <w:rPr>
                <w:rFonts w:ascii="Times New Roman" w:hAnsi="Times New Roman" w:eastAsia="Times New Roman"/>
                <w:b/>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i w:val="0"/>
                <w:color w:val="000000"/>
                <w:sz w:val="26"/>
              </w:rPr>
            </w:r>
            <w:r>
              <w:rPr>
                <w:rFonts w:ascii="Times New Roman" w:hAnsi="Times New Roman" w:eastAsia="Times New Roman"/>
                <w:b w:val="0"/>
                <w:i/>
                <w:color w:val="000000"/>
                <w:sz w:val="24"/>
              </w:rPr>
              <w:t>(Ký, ghi rõ họ tên, chức vụ và đóng dấu)</w:t>
            </w:r>
          </w:p>
        </w:tc>
      </w:tr>
    </w:tbl>
    <w:sectPr w:rsidR="00FC693F" w:rsidRPr="0006063C" w:rsidSect="00034616">
      <w:headerReference w:type="default" r:id="rId9"/>
      <w:headerReference w:type="first" r:id="rId10"/>
      <w:pgSz w:w="11906" w:h="16838"/>
      <w:pgMar w:top="1417" w:right="1134" w:bottom="1417" w:left="1701" w:header="567"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fldSimple w:instr="PAGE"/>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color w:val="000000"/>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imes New Roman" w:hAnsi="Times New Roman"/>
      <w:b/>
      <w:bCs/>
      <w:color w:val="000000"/>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03 – Thẩm định tổng mức đầu tư - cơ quan được giao</dc:title>
  <dc:subject>Phụ lục VIII – 36/2026/TT-BXD</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