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2721"/>
        <w:gridCol w:w="6350"/>
      </w:tblGrid>
      <w:tr>
        <w:trPr>
          <w:cantSplit/>
        </w:trPr>
        <w:tc>
          <w:tcPr>
            <w:tcW w:type="dxa" w:w="2721"/>
            <w:vAlign w:val="top"/>
          </w:tcPr>
          <w:p>
            <w:pPr>
              <w:keepNext w:val="0"/>
              <w:widowControl/>
              <w:spacing w:after="120" w:before="0" w:line="264" w:lineRule="auto"/>
              <w:ind w:firstLine="0"/>
              <w:jc w:val="center"/>
            </w:pPr>
            <w:bookmarkStart w:id="1" w:name="buildsia_agency"/>
            <w:r>
              <w:rPr>
                <w:rFonts w:ascii="Times New Roman" w:hAnsi="Times New Roman" w:eastAsia="Times New Roman"/>
                <w:b/>
                <w:i w:val="0"/>
                <w:color w:val="000000"/>
                <w:sz w:val="26"/>
              </w:rPr>
              <w:t>CHỦ ĐẦU TƯ</w:t>
            </w:r>
            <w:bookmarkEnd w:id="1"/>
          </w:p>
          <w:p>
            <w:pPr>
              <w:keepNext w:val="0"/>
              <w:widowControl/>
              <w:spacing w:after="120" w:before="0" w:line="264" w:lineRule="auto"/>
              <w:ind w:firstLine="0"/>
              <w:jc w:val="center"/>
            </w:pPr>
            <w:r>
              <w:rPr>
                <w:rFonts w:ascii="Times New Roman" w:hAnsi="Times New Roman" w:eastAsia="Times New Roman"/>
                <w:b w:val="0"/>
                <w:i w:val="0"/>
                <w:color w:val="000000"/>
                <w:sz w:val="26"/>
              </w:rPr>
              <w:t>________</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bookmarkStart w:id="2" w:name="buildsia_number"/>
            <w:r>
              <w:rPr>
                <w:rFonts w:ascii="Times New Roman" w:hAnsi="Times New Roman" w:eastAsia="Times New Roman"/>
                <w:b w:val="0"/>
                <w:i w:val="0"/>
                <w:color w:val="000000"/>
                <w:sz w:val="26"/>
              </w:rPr>
              <w:t>(Số hiệu văn bản)</w:t>
            </w:r>
            <w:bookmarkEnd w:id="2"/>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 xml:space="preserve">V/v Báo cáo kết quả thẩm định tổng mức đầu tư xây dựng dự án </w:t>
            </w:r>
            <w:r>
              <w:rPr>
                <w:rFonts w:ascii="Times New Roman" w:hAnsi="Times New Roman" w:eastAsia="Times New Roman"/>
                <w:b w:val="0"/>
                <w:i/>
                <w:color w:val="000000"/>
                <w:sz w:val="26"/>
              </w:rPr>
              <w:t>(tên dự án)</w:t>
            </w:r>
          </w:p>
        </w:tc>
        <w:tc>
          <w:tcPr>
            <w:tcW w:type="dxa" w:w="6350"/>
            <w:vAlign w:val="top"/>
          </w:tcPr>
          <w:p>
            <w:pPr>
              <w:keepNext w:val="0"/>
              <w:widowControl/>
              <w:spacing w:after="120" w:before="0" w:line="264" w:lineRule="auto"/>
              <w:ind w:firstLine="0"/>
              <w:jc w:val="center"/>
            </w:pPr>
            <w:r>
              <w:rPr>
                <w:rFonts w:ascii="Times New Roman" w:hAnsi="Times New Roman" w:eastAsia="Times New Roman"/>
                <w:b/>
                <w:i w:val="0"/>
                <w:color w:val="000000"/>
                <w:sz w:val="24"/>
              </w:rPr>
              <w:t>CỘNG HÒA XÃ HỘI CHỦ NGHĨA VIỆT NAM</w:t>
            </w:r>
          </w:p>
          <w:p>
            <w:pPr>
              <w:keepNext w:val="0"/>
              <w:widowControl/>
              <w:spacing w:after="120" w:before="0" w:line="264" w:lineRule="auto"/>
              <w:ind w:firstLine="0"/>
              <w:jc w:val="center"/>
            </w:pPr>
            <w:r>
              <w:rPr>
                <w:rFonts w:ascii="Times New Roman" w:hAnsi="Times New Roman" w:eastAsia="Times New Roman"/>
                <w:b/>
                <w:i w:val="0"/>
                <w:color w:val="000000"/>
                <w:sz w:val="26"/>
              </w:rPr>
              <w:t>Độc lập - Tự do - Hạnh phúc</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i w:val="0"/>
                <w:color w:val="000000"/>
                <w:sz w:val="26"/>
              </w:rPr>
              <w:t>---------------------------------</w:t>
            </w:r>
          </w:p>
          <w:p>
            <w:pPr>
              <w:keepNext w:val="0"/>
              <w:widowControl/>
              <w:spacing w:after="120" w:before="0" w:line="264" w:lineRule="auto"/>
              <w:ind w:firstLine="0"/>
              <w:jc w:val="center"/>
            </w:pPr>
            <w:bookmarkStart w:id="3" w:name="buildsia_date"/>
            <w:r>
              <w:rPr>
                <w:rFonts w:ascii="Times New Roman" w:hAnsi="Times New Roman" w:eastAsia="Times New Roman"/>
                <w:b w:val="0"/>
                <w:i w:val="0"/>
                <w:color w:val="000000"/>
                <w:sz w:val="26"/>
              </w:rPr>
              <w:t>..........., ngày ... tháng ... năm ....</w:t>
            </w:r>
            <w:bookmarkEnd w:id="3"/>
          </w:p>
        </w:tc>
      </w:tr>
    </w:tbl>
    <w:p>
      <w:pPr>
        <w:keepNext w:val="0"/>
        <w:widowControl/>
        <w:spacing w:after="120" w:before="0" w:line="312" w:lineRule="auto"/>
        <w:ind w:firstLine="0"/>
        <w:jc w:val="center"/>
      </w:pPr>
      <w:bookmarkStart w:id="4" w:name="buildsia_recipient"/>
      <w:r>
        <w:rPr>
          <w:rFonts w:ascii="Times New Roman" w:hAnsi="Times New Roman" w:eastAsia="Times New Roman"/>
          <w:b w:val="0"/>
          <w:i w:val="0"/>
          <w:color w:val="000000"/>
          <w:sz w:val="26"/>
        </w:rPr>
        <w:t xml:space="preserve">Kính gửi: </w:t>
      </w:r>
      <w:r>
        <w:rPr>
          <w:rFonts w:ascii="Times New Roman" w:hAnsi="Times New Roman" w:eastAsia="Times New Roman"/>
          <w:b w:val="0"/>
          <w:i/>
          <w:color w:val="000000"/>
          <w:sz w:val="26"/>
        </w:rPr>
        <w:t>(Người quyết định đầu tư</w:t>
      </w:r>
      <w:r>
        <w:rPr>
          <w:rFonts w:ascii="Times New Roman" w:hAnsi="Times New Roman" w:eastAsia="Times New Roman"/>
          <w:b w:val="0"/>
          <w:i/>
          <w:color w:val="000000"/>
          <w:sz w:val="26"/>
          <w:vertAlign w:val="superscript"/>
        </w:rPr>
        <w:t>2</w:t>
      </w:r>
      <w:r>
        <w:rPr>
          <w:rFonts w:ascii="Times New Roman" w:hAnsi="Times New Roman" w:eastAsia="Times New Roman"/>
          <w:b w:val="0"/>
          <w:i/>
          <w:color w:val="000000"/>
          <w:sz w:val="26"/>
        </w:rPr>
        <w:t>)</w:t>
      </w:r>
      <w:r>
        <w:rPr>
          <w:rFonts w:ascii="Times New Roman" w:hAnsi="Times New Roman" w:eastAsia="Times New Roman"/>
          <w:b w:val="0"/>
          <w:i w:val="0"/>
          <w:color w:val="000000"/>
          <w:sz w:val="26"/>
        </w:rPr>
        <w:t>.</w:t>
      </w:r>
      <w:bookmarkEnd w:id="4"/>
    </w:p>
    <w:p>
      <w:pPr>
        <w:keepNext w:val="0"/>
        <w:widowControl/>
        <w:spacing w:after="120" w:before="0" w:line="312" w:lineRule="auto"/>
        <w:ind w:firstLine="720"/>
        <w:jc w:val="both"/>
      </w:pPr>
      <w:r>
        <w:rPr>
          <w:rFonts w:ascii="Times New Roman" w:hAnsi="Times New Roman" w:eastAsia="Times New Roman"/>
          <w:b w:val="0"/>
          <w:i w:val="0"/>
          <w:color w:val="000000"/>
          <w:sz w:val="26"/>
        </w:rPr>
        <w:t>Căn cứ Luật Xây dựng năm 2025;</w:t>
      </w:r>
    </w:p>
    <w:p>
      <w:pPr>
        <w:keepNext w:val="0"/>
        <w:widowControl/>
        <w:spacing w:after="120" w:before="0" w:line="312" w:lineRule="auto"/>
        <w:ind w:firstLine="720"/>
        <w:jc w:val="both"/>
      </w:pPr>
      <w:r>
        <w:rPr>
          <w:rFonts w:ascii="Times New Roman" w:hAnsi="Times New Roman" w:eastAsia="Times New Roman"/>
          <w:b w:val="0"/>
          <w:i w:val="0"/>
          <w:color w:val="000000"/>
          <w:sz w:val="26"/>
        </w:rPr>
        <w:t>Căn cứ Nghị định số 206/2026/NĐ-CP ngày 15 tháng 06 năm 2026 của Chính phủ quy định chi tiết về quản lý chi phí đầu tư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Căn cứ Văn bản số …. của </w:t>
      </w:r>
      <w:r>
        <w:rPr>
          <w:rFonts w:ascii="Times New Roman" w:hAnsi="Times New Roman" w:eastAsia="Times New Roman"/>
          <w:b w:val="0"/>
          <w:i/>
          <w:color w:val="000000"/>
          <w:sz w:val="26"/>
        </w:rPr>
        <w:t>(cơ quan chuyên môn về xây dựng)</w:t>
      </w:r>
      <w:r>
        <w:rPr>
          <w:rFonts w:ascii="Times New Roman" w:hAnsi="Times New Roman" w:eastAsia="Times New Roman"/>
          <w:b w:val="0"/>
          <w:i w:val="0"/>
          <w:color w:val="000000"/>
          <w:sz w:val="26"/>
        </w:rPr>
        <w:t xml:space="preserve"> về việc thông báo kết quả thẩm định Báo cáo nghiên cứu khả thi dự án </w:t>
      </w:r>
      <w:r>
        <w:rPr>
          <w:rFonts w:ascii="Times New Roman" w:hAnsi="Times New Roman" w:eastAsia="Times New Roman"/>
          <w:b w:val="0"/>
          <w:i/>
          <w:color w:val="000000"/>
          <w:sz w:val="26"/>
        </w:rPr>
        <w:t>(tên dự án</w:t>
      </w:r>
      <w:r>
        <w:rPr>
          <w:rFonts w:ascii="Times New Roman" w:hAnsi="Times New Roman" w:eastAsia="Times New Roman"/>
          <w:b w:val="0"/>
          <w:i w:val="0"/>
          <w:color w:val="000000"/>
          <w:sz w:val="26"/>
        </w:rPr>
        <w:t>);</w:t>
      </w:r>
    </w:p>
    <w:p>
      <w:pPr>
        <w:keepNext w:val="0"/>
        <w:widowControl/>
        <w:spacing w:after="120" w:before="0" w:line="312" w:lineRule="auto"/>
        <w:ind w:firstLine="720"/>
        <w:jc w:val="both"/>
      </w:pPr>
      <w:r>
        <w:rPr>
          <w:rFonts w:ascii="Times New Roman" w:hAnsi="Times New Roman" w:eastAsia="Times New Roman"/>
          <w:b w:val="0"/>
          <w:i w:val="0"/>
          <w:color w:val="000000"/>
          <w:sz w:val="26"/>
        </w:rPr>
        <w:t>Các căn cứ pháp lý khác có liên quan.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Sau khi xem xét, </w:t>
      </w:r>
      <w:r>
        <w:rPr>
          <w:rFonts w:ascii="Times New Roman" w:hAnsi="Times New Roman" w:eastAsia="Times New Roman"/>
          <w:b w:val="0"/>
          <w:i/>
          <w:color w:val="000000"/>
          <w:sz w:val="26"/>
        </w:rPr>
        <w:t>(Chủ đầu tư)</w:t>
      </w:r>
      <w:r>
        <w:rPr>
          <w:rFonts w:ascii="Times New Roman" w:hAnsi="Times New Roman" w:eastAsia="Times New Roman"/>
          <w:b w:val="0"/>
          <w:i w:val="0"/>
          <w:color w:val="000000"/>
          <w:sz w:val="26"/>
        </w:rPr>
        <w:t xml:space="preserve"> báo cáo kết quả thẩm định tổng mức đầu tư xây dựng dự án </w:t>
      </w:r>
      <w:r>
        <w:rPr>
          <w:rFonts w:ascii="Times New Roman" w:hAnsi="Times New Roman" w:eastAsia="Times New Roman"/>
          <w:b w:val="0"/>
          <w:i/>
          <w:color w:val="000000"/>
          <w:sz w:val="26"/>
        </w:rPr>
        <w:t>(tên dự án)</w:t>
      </w:r>
      <w:r>
        <w:rPr>
          <w:rFonts w:ascii="Times New Roman" w:hAnsi="Times New Roman" w:eastAsia="Times New Roman"/>
          <w:b w:val="0"/>
          <w:i w:val="0"/>
          <w:color w:val="000000"/>
          <w:sz w:val="26"/>
        </w:rPr>
        <w:t xml:space="preserve"> như sau:</w:t>
      </w:r>
    </w:p>
    <w:p>
      <w:pPr>
        <w:keepNext/>
        <w:widowControl/>
        <w:spacing w:after="120" w:before="80" w:line="312" w:lineRule="auto"/>
        <w:ind w:firstLine="0"/>
        <w:jc w:val="both"/>
      </w:pPr>
      <w:r>
        <w:rPr>
          <w:rFonts w:ascii="Times New Roman" w:hAnsi="Times New Roman" w:eastAsia="Times New Roman"/>
          <w:b/>
          <w:i w:val="0"/>
          <w:color w:val="000000"/>
          <w:sz w:val="26"/>
        </w:rPr>
        <w:t>1. Khái quát về dự án</w:t>
      </w:r>
    </w:p>
    <w:p>
      <w:pPr>
        <w:keepNext w:val="0"/>
        <w:widowControl/>
        <w:spacing w:after="120" w:before="0" w:line="312" w:lineRule="auto"/>
        <w:ind w:firstLine="720"/>
        <w:jc w:val="both"/>
      </w:pPr>
      <w:bookmarkStart w:id="5" w:name="buildsia_project"/>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Tên dự án/dự án thành phần thuộc dự án:</w:t>
      </w:r>
      <w:bookmarkEnd w:id="5"/>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Nhóm dự án, loại và cấp công trình chính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Mã định danh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Quy mô đầu tư xây dựng: (một số chỉ tiêu, thông số chính thể hiện quy mô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Người quyết định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Địa điểm xây dựng dự án: (</w:t>
      </w:r>
      <w:r>
        <w:rPr>
          <w:rFonts w:ascii="Times New Roman" w:hAnsi="Times New Roman" w:eastAsia="Times New Roman"/>
          <w:b w:val="0"/>
          <w:i/>
          <w:color w:val="000000"/>
          <w:sz w:val="26"/>
        </w:rPr>
        <w:t>ghi địa danh cấp xã, tỉnh</w:t>
      </w:r>
      <w:r>
        <w:rPr>
          <w:rFonts w:ascii="Times New Roman" w:hAnsi="Times New Roman" w:eastAsia="Times New Roman"/>
          <w:b w:val="0"/>
          <w:i w:val="0"/>
          <w:color w:val="000000"/>
          <w:sz w:val="26"/>
        </w:rPr>
        <w:t>)</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Nhà thầu tư vấn lập tổng mức đầu tư xây dựng: (</w:t>
      </w:r>
      <w:r>
        <w:rPr>
          <w:rFonts w:ascii="Times New Roman" w:hAnsi="Times New Roman" w:eastAsia="Times New Roman"/>
          <w:b w:val="0"/>
          <w:i/>
          <w:color w:val="000000"/>
          <w:sz w:val="26"/>
        </w:rPr>
        <w:t>tên nhà thầu, mã số doanh nghiệp</w:t>
      </w:r>
      <w:r>
        <w:rPr>
          <w:rFonts w:ascii="Times New Roman" w:hAnsi="Times New Roman" w:eastAsia="Times New Roman"/>
          <w:b w:val="0"/>
          <w:i w:val="0"/>
          <w:color w:val="000000"/>
          <w:sz w:val="26"/>
        </w:rPr>
        <w:t>)</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Giá trị tổng mức đầu tư xây dựng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Nguồn vốn đầu tư: (xác định và ghi rõ: vốn đầu tư công/vốn chi thường xuyên từ ngân sách nhà nước/vốn ngân sách nhà nước khác/vốn khác/thực hiện theo phương thức PPP);</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Thời gian thực hiện dự án; phân kỳ đầu tư (nếu có); thời hạn hoạt động của dự án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Nhà thầu tư vấn lập tổng mức đầu tư xây dựng: (</w:t>
      </w:r>
      <w:r>
        <w:rPr>
          <w:rFonts w:ascii="Times New Roman" w:hAnsi="Times New Roman" w:eastAsia="Times New Roman"/>
          <w:b w:val="0"/>
          <w:i/>
          <w:color w:val="000000"/>
          <w:sz w:val="26"/>
        </w:rPr>
        <w:t>tên nhà thầu, mã số doanh nghiệp</w:t>
      </w:r>
      <w:r>
        <w:rPr>
          <w:rFonts w:ascii="Times New Roman" w:hAnsi="Times New Roman" w:eastAsia="Times New Roman"/>
          <w:b w:val="0"/>
          <w:i w:val="0"/>
          <w:color w:val="000000"/>
          <w:sz w:val="26"/>
        </w:rPr>
        <w:t>);</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Nhà thầu thẩm tra tổng mức đầu tư xây dựng (nếu có): (</w:t>
      </w:r>
      <w:r>
        <w:rPr>
          <w:rFonts w:ascii="Times New Roman" w:hAnsi="Times New Roman" w:eastAsia="Times New Roman"/>
          <w:b w:val="0"/>
          <w:i/>
          <w:color w:val="000000"/>
          <w:sz w:val="26"/>
        </w:rPr>
        <w:t>tên nhà thầu, mã số doanh nghiệp</w:t>
      </w:r>
      <w:r>
        <w:rPr>
          <w:rFonts w:ascii="Times New Roman" w:hAnsi="Times New Roman" w:eastAsia="Times New Roman"/>
          <w:b w:val="0"/>
          <w:i w:val="0"/>
          <w:color w:val="000000"/>
          <w:sz w:val="26"/>
        </w:rPr>
        <w:t>);</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Các thông tin khác (nếu có).</w:t>
      </w:r>
    </w:p>
    <w:p>
      <w:pPr>
        <w:keepNext/>
        <w:widowControl/>
        <w:spacing w:after="120" w:before="80" w:line="312" w:lineRule="auto"/>
        <w:ind w:firstLine="0"/>
        <w:jc w:val="both"/>
      </w:pPr>
      <w:r>
        <w:rPr>
          <w:rFonts w:ascii="Times New Roman" w:hAnsi="Times New Roman" w:eastAsia="Times New Roman"/>
          <w:b/>
          <w:i w:val="0"/>
          <w:color w:val="000000"/>
          <w:sz w:val="26"/>
        </w:rPr>
        <w:t>2. Hồ sơ trình thẩm định</w:t>
      </w:r>
    </w:p>
    <w:p>
      <w:pPr>
        <w:keepNext w:val="0"/>
        <w:widowControl/>
        <w:spacing w:after="120" w:before="0" w:line="312" w:lineRule="auto"/>
        <w:ind w:firstLine="720"/>
        <w:jc w:val="both"/>
      </w:pPr>
      <w:r>
        <w:rPr>
          <w:rFonts w:ascii="Times New Roman" w:hAnsi="Times New Roman" w:eastAsia="Times New Roman"/>
          <w:b/>
          <w:i/>
          <w:color w:val="000000"/>
          <w:sz w:val="26"/>
        </w:rPr>
        <w:t>2.1. Văn bản pháp lý</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Tờ trình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Văn bản về chủ trương đầu tư xây dựng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Các văn bản cơ sở pháp lý liên quan đến dự án, xác định tổng mức đầu tư: Luật, Nghị định, Thông tư; các văn bản, tài liệu khác có liên quan đến dự án…</w:t>
      </w:r>
    </w:p>
    <w:p>
      <w:pPr>
        <w:keepNext w:val="0"/>
        <w:widowControl/>
        <w:spacing w:after="120" w:before="0" w:line="312" w:lineRule="auto"/>
        <w:ind w:firstLine="720"/>
        <w:jc w:val="both"/>
      </w:pPr>
      <w:r>
        <w:rPr>
          <w:rFonts w:ascii="Times New Roman" w:hAnsi="Times New Roman" w:eastAsia="Times New Roman"/>
          <w:b w:val="0"/>
          <w:i/>
          <w:color w:val="000000"/>
          <w:sz w:val="26"/>
        </w:rPr>
        <w:t>(Liệt kê các văn bản pháp lý có liên quan của dự án)</w:t>
      </w:r>
    </w:p>
    <w:p>
      <w:pPr>
        <w:keepNext w:val="0"/>
        <w:widowControl/>
        <w:spacing w:after="120" w:before="0" w:line="312" w:lineRule="auto"/>
        <w:ind w:firstLine="720"/>
        <w:jc w:val="both"/>
      </w:pPr>
      <w:r>
        <w:rPr>
          <w:rFonts w:ascii="Times New Roman" w:hAnsi="Times New Roman" w:eastAsia="Times New Roman"/>
          <w:b/>
          <w:i/>
          <w:color w:val="000000"/>
          <w:sz w:val="26"/>
        </w:rPr>
        <w:t>2.2. Hồ sơ, tài liệu trình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Hồ sơ dự án (bao gồm thuyết minh BCNCKT, thuyết minh thiết kế xây dựng, thiết kế xây dựng trong BCNCKT) được hoàn thiện theo ý kiến thẩm tra (nếu có), ý kiến thẩm định của cơ quan chuyên môn về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Hồ sơ xác định tổng mức đầu tư (gồm thuyết minh xác định tổng mức đầu tư, chi tiết tính toán tổng mức đầu tư và các tài liệu có liên quan để xác định tổng mức đầu tư) được hoàn thiện theo ý kiến thẩm tra (nếu có), ý kiến thẩm định của cơ quan chuyên môn về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 xml:space="preserve">Văn bản số …. của </w:t>
      </w:r>
      <w:r>
        <w:rPr>
          <w:rFonts w:ascii="Times New Roman" w:hAnsi="Times New Roman" w:eastAsia="Times New Roman"/>
          <w:b w:val="0"/>
          <w:i/>
          <w:color w:val="000000"/>
          <w:sz w:val="26"/>
        </w:rPr>
        <w:t>(cơ quan chuyên môn về xây dựng) (nếu có)</w:t>
      </w:r>
      <w:r>
        <w:rPr>
          <w:rFonts w:ascii="Times New Roman" w:hAnsi="Times New Roman" w:eastAsia="Times New Roman"/>
          <w:b w:val="0"/>
          <w:i w:val="0"/>
          <w:color w:val="000000"/>
          <w:sz w:val="26"/>
        </w:rPr>
        <w:t xml:space="preserve"> về việc thông báo kết quả thẩm định Báo cáo nghiên cứu khả thi dự án (BCNCKT) </w:t>
      </w:r>
      <w:r>
        <w:rPr>
          <w:rFonts w:ascii="Times New Roman" w:hAnsi="Times New Roman" w:eastAsia="Times New Roman"/>
          <w:b w:val="0"/>
          <w:i/>
          <w:color w:val="000000"/>
          <w:sz w:val="26"/>
        </w:rPr>
        <w:t>(tên dự án</w:t>
      </w:r>
      <w:r>
        <w:rPr>
          <w:rFonts w:ascii="Times New Roman" w:hAnsi="Times New Roman" w:eastAsia="Times New Roman"/>
          <w:b w:val="0"/>
          <w:i w:val="0"/>
          <w:color w:val="000000"/>
          <w:sz w:val="26"/>
        </w:rPr>
        <w:t>);</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Báo cáo kết quả thẩm tra tổng mức đầu tư xây dựng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Kết quả thẩm định thiết kế xây dựng trong BCNCKT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Các hồ sơ, tài liệu khác có liên quan (nếu có).</w:t>
      </w:r>
    </w:p>
    <w:p>
      <w:pPr>
        <w:keepNext w:val="0"/>
        <w:widowControl/>
        <w:spacing w:after="120" w:before="0" w:line="312" w:lineRule="auto"/>
        <w:ind w:firstLine="720"/>
        <w:jc w:val="both"/>
      </w:pPr>
      <w:r>
        <w:rPr>
          <w:rFonts w:ascii="Times New Roman" w:hAnsi="Times New Roman" w:eastAsia="Times New Roman"/>
          <w:b/>
          <w:i/>
          <w:color w:val="000000"/>
          <w:sz w:val="26"/>
        </w:rPr>
        <w:t>2.3. Nội dung hồ sơ trình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Cơ sở pháp lý lập dự án, xác định tổng mức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Tóm tắt nội dung thông tin cơ bản dự án, công trình; phạm vi, nội dung tổng mức đầu tư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Giá trị tổng mức đầu tư: bao gồm các khoản mục chi phí theo công trình, hạng mục công trình thuộc dự án; các dự án thành phần, phân kỳ đầu tư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Kết luận về việc đủ điều kiện/chưa đủ điều kiện để thực hiện thẩm định.</w:t>
      </w:r>
    </w:p>
    <w:p>
      <w:pPr>
        <w:keepNext/>
        <w:widowControl/>
        <w:spacing w:after="120" w:before="80" w:line="312" w:lineRule="auto"/>
        <w:ind w:firstLine="0"/>
        <w:jc w:val="both"/>
      </w:pPr>
      <w:r>
        <w:rPr>
          <w:rFonts w:ascii="Times New Roman" w:hAnsi="Times New Roman" w:eastAsia="Times New Roman"/>
          <w:b/>
          <w:i w:val="0"/>
          <w:color w:val="000000"/>
          <w:sz w:val="26"/>
        </w:rPr>
        <w:t>3. Nguyên tắc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Phạm vi thẩm định, các nội dung không thực hiện thẩm định (nếu có), lý do....;</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Nguyên tắc thẩm định theo quy định tại khoản 5 Điều 7 Nghị định số 217/2026/NĐ-CP.</w:t>
      </w:r>
    </w:p>
    <w:p>
      <w:pPr>
        <w:keepNext/>
        <w:widowControl/>
        <w:spacing w:after="120" w:before="80" w:line="312" w:lineRule="auto"/>
        <w:ind w:firstLine="0"/>
        <w:jc w:val="both"/>
      </w:pPr>
      <w:r>
        <w:rPr>
          <w:rFonts w:ascii="Times New Roman" w:hAnsi="Times New Roman" w:eastAsia="Times New Roman"/>
          <w:b/>
          <w:i w:val="0"/>
          <w:color w:val="000000"/>
          <w:sz w:val="26"/>
        </w:rPr>
        <w:t>4. Nội dung thẩm định tổng mức đầu tư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4.1. Sự đầy đủ của hồ sơ tổng mức đầu tư xây dựng; kiểm tra kết quả thẩm tra tổng mức đầu tư xây dựng của tổ chức tư vấn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4.2. Sự phù hợp của việc xác định khối lượng chủ yếu của công tác xây dựng, chủng loại và số lượng thiết bị tính toán trong tổng mức đầu tư xây dựng so với thiết kế;</w:t>
      </w:r>
    </w:p>
    <w:p>
      <w:pPr>
        <w:keepNext w:val="0"/>
        <w:widowControl/>
        <w:spacing w:after="120" w:before="0" w:line="312" w:lineRule="auto"/>
        <w:ind w:firstLine="720"/>
        <w:jc w:val="both"/>
      </w:pPr>
      <w:r>
        <w:rPr>
          <w:rFonts w:ascii="Times New Roman" w:hAnsi="Times New Roman" w:eastAsia="Times New Roman"/>
          <w:b w:val="0"/>
          <w:i w:val="0"/>
          <w:color w:val="000000"/>
          <w:sz w:val="26"/>
        </w:rPr>
        <w:t>4.3. Tiếp thu, giải trình các nội dung yêu cầu của cơ quan chuyên môn về xây dựng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4.4. Việc xác định giá trị tổng mức đầu tư theo các yêu cầu của cơ quan chuyên môn về xây dựng (nếu có) và bảo đảm phù hợp với giá trị sơ bộ tổng mức đầu tư xây dựng, thiết kế xây dựng, tiêu chuẩn, quy chuẩn, chỉ dẫn kỹ thuật, biện pháp thi công xây dựng định hướng, công nghệ được sử dụng cho dự án, tiến độ thi công công trình và mặt bằng giá thị trường;</w:t>
      </w:r>
    </w:p>
    <w:p>
      <w:pPr>
        <w:keepNext w:val="0"/>
        <w:widowControl/>
        <w:spacing w:after="120" w:before="0" w:line="312" w:lineRule="auto"/>
        <w:ind w:firstLine="720"/>
        <w:jc w:val="both"/>
      </w:pPr>
      <w:r>
        <w:rPr>
          <w:rFonts w:ascii="Times New Roman" w:hAnsi="Times New Roman" w:eastAsia="Times New Roman"/>
          <w:b w:val="0"/>
          <w:i w:val="0"/>
          <w:color w:val="000000"/>
          <w:sz w:val="26"/>
        </w:rPr>
        <w:t>4.4.1. Sự phù hợp phương pháp tính toán các khoản mục chi phí đầu tư xây dựng; tính chính xác, căn cứ của các báo giá, dữ liệu chi phí, định mức xây dựng được sử dụng để xác định giá xây dựng, chi phí đầu tư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4.4.2. Xác định giá trị tổng mức đầu tư sau thẩm định.</w:t>
      </w:r>
    </w:p>
    <w:p>
      <w:pPr>
        <w:keepNext w:val="0"/>
        <w:widowControl/>
        <w:spacing w:after="120" w:before="0" w:line="312" w:lineRule="auto"/>
        <w:ind w:firstLine="0"/>
        <w:jc w:val="right"/>
      </w:pPr>
      <w:r>
        <w:rPr>
          <w:rFonts w:ascii="Times New Roman" w:hAnsi="Times New Roman" w:eastAsia="Times New Roman"/>
          <w:b w:val="0"/>
          <w:i/>
          <w:color w:val="000000"/>
          <w:sz w:val="26"/>
        </w:rPr>
        <w:t>Đơn vị tính: ...</w:t>
      </w:r>
    </w:p>
    <w:tbl>
      <w:tblPr>
        <w:tblStyle w:val="TableGrid"/>
        <w:tblW w:type="auto" w:w="0"/>
        <w:tblLayout w:type="fixed"/>
        <w:tblLook w:firstColumn="1" w:firstRow="1" w:lastColumn="0" w:lastRow="0" w:noHBand="0" w:noVBand="1" w:val="04A0"/>
      </w:tblPr>
      <w:tblGrid>
        <w:gridCol w:w="794"/>
        <w:gridCol w:w="2948"/>
        <w:gridCol w:w="1332"/>
        <w:gridCol w:w="1332"/>
        <w:gridCol w:w="1332"/>
        <w:gridCol w:w="1332"/>
      </w:tblGrid>
      <w:tr>
        <w:trPr>
          <w:cantSplit/>
          <w:tblHeader/>
          <w:tblHeader/>
          <w:tblHeader/>
          <w:tblHeader/>
          <w:tblHeader/>
          <w:tblHeader/>
        </w:trPr>
        <w:tc>
          <w:tcPr>
            <w:tcW w:type="dxa" w:w="794"/>
            <w:vAlign w:val="center"/>
          </w:tcPr>
          <w:p>
            <w:pPr>
              <w:keepNext w:val="0"/>
              <w:widowControl/>
              <w:spacing w:after="120" w:before="0" w:line="264" w:lineRule="auto"/>
              <w:ind w:firstLine="0"/>
              <w:jc w:val="center"/>
            </w:pPr>
            <w:r>
              <w:rPr>
                <w:rFonts w:ascii="Times New Roman" w:hAnsi="Times New Roman" w:eastAsia="Times New Roman"/>
                <w:b/>
                <w:i w:val="0"/>
                <w:color w:val="000000"/>
                <w:sz w:val="26"/>
              </w:rPr>
              <w:t>STT</w:t>
            </w:r>
          </w:p>
        </w:tc>
        <w:tc>
          <w:tcPr>
            <w:tcW w:type="dxa" w:w="2948"/>
            <w:vAlign w:val="center"/>
          </w:tcPr>
          <w:p>
            <w:pPr>
              <w:keepNext w:val="0"/>
              <w:widowControl/>
              <w:spacing w:after="120" w:before="0" w:line="264" w:lineRule="auto"/>
              <w:ind w:firstLine="0"/>
              <w:jc w:val="center"/>
            </w:pPr>
            <w:r>
              <w:rPr>
                <w:rFonts w:ascii="Times New Roman" w:hAnsi="Times New Roman" w:eastAsia="Times New Roman"/>
                <w:b/>
                <w:i w:val="0"/>
                <w:color w:val="000000"/>
                <w:sz w:val="26"/>
              </w:rPr>
              <w:t>Nội dung chi phí</w:t>
            </w:r>
          </w:p>
        </w:tc>
        <w:tc>
          <w:tcPr>
            <w:tcW w:type="dxa" w:w="1332"/>
            <w:vAlign w:val="center"/>
          </w:tcPr>
          <w:p>
            <w:pPr>
              <w:keepNext w:val="0"/>
              <w:widowControl/>
              <w:spacing w:after="120" w:before="0" w:line="264" w:lineRule="auto"/>
              <w:ind w:firstLine="0"/>
              <w:jc w:val="center"/>
            </w:pPr>
            <w:r>
              <w:rPr>
                <w:rFonts w:ascii="Times New Roman" w:hAnsi="Times New Roman" w:eastAsia="Times New Roman"/>
                <w:b/>
                <w:i w:val="0"/>
                <w:color w:val="000000"/>
                <w:sz w:val="26"/>
              </w:rPr>
              <w:t>Giá trị sơ bộ TMĐT</w:t>
            </w:r>
          </w:p>
        </w:tc>
        <w:tc>
          <w:tcPr>
            <w:tcW w:type="dxa" w:w="1332"/>
            <w:vAlign w:val="center"/>
          </w:tcPr>
          <w:p>
            <w:pPr>
              <w:keepNext w:val="0"/>
              <w:widowControl/>
              <w:spacing w:after="120" w:before="0" w:line="264" w:lineRule="auto"/>
              <w:ind w:firstLine="0"/>
              <w:jc w:val="center"/>
            </w:pPr>
            <w:r>
              <w:rPr>
                <w:rFonts w:ascii="Times New Roman" w:hAnsi="Times New Roman" w:eastAsia="Times New Roman"/>
                <w:b/>
                <w:i w:val="0"/>
                <w:color w:val="000000"/>
                <w:sz w:val="26"/>
              </w:rPr>
              <w:t>Giá trị TMĐT sau thẩm tra</w:t>
            </w:r>
          </w:p>
        </w:tc>
        <w:tc>
          <w:tcPr>
            <w:tcW w:type="dxa" w:w="1332"/>
            <w:vAlign w:val="center"/>
          </w:tcPr>
          <w:p>
            <w:pPr>
              <w:keepNext w:val="0"/>
              <w:widowControl/>
              <w:spacing w:after="120" w:before="0" w:line="264" w:lineRule="auto"/>
              <w:ind w:firstLine="0"/>
              <w:jc w:val="center"/>
            </w:pPr>
            <w:r>
              <w:rPr>
                <w:rFonts w:ascii="Times New Roman" w:hAnsi="Times New Roman" w:eastAsia="Times New Roman"/>
                <w:b/>
                <w:i w:val="0"/>
                <w:color w:val="000000"/>
                <w:sz w:val="26"/>
              </w:rPr>
              <w:t>Giá trị TMĐT sau thẩm định</w:t>
            </w:r>
          </w:p>
        </w:tc>
        <w:tc>
          <w:tcPr>
            <w:tcW w:type="dxa" w:w="1332"/>
            <w:vAlign w:val="center"/>
          </w:tcPr>
          <w:p>
            <w:pPr>
              <w:keepNext w:val="0"/>
              <w:widowControl/>
              <w:spacing w:after="120" w:before="0" w:line="264" w:lineRule="auto"/>
              <w:ind w:firstLine="0"/>
              <w:jc w:val="center"/>
            </w:pPr>
            <w:r>
              <w:rPr>
                <w:rFonts w:ascii="Times New Roman" w:hAnsi="Times New Roman" w:eastAsia="Times New Roman"/>
                <w:b/>
                <w:i w:val="0"/>
                <w:color w:val="000000"/>
                <w:sz w:val="26"/>
              </w:rPr>
              <w:t>Tăng, giảm (+/-)</w:t>
            </w:r>
          </w:p>
        </w:tc>
      </w:tr>
      <w:tr>
        <w:trPr>
          <w:cantSplit/>
        </w:trPr>
        <w:tc>
          <w:tcPr>
            <w:tcW w:type="dxa" w:w="794"/>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[1]</w:t>
            </w:r>
          </w:p>
        </w:tc>
        <w:tc>
          <w:tcPr>
            <w:tcW w:type="dxa" w:w="2948"/>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[2]</w:t>
            </w:r>
          </w:p>
        </w:tc>
        <w:tc>
          <w:tcPr>
            <w:tcW w:type="dxa" w:w="1332"/>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[3]</w:t>
            </w:r>
          </w:p>
        </w:tc>
        <w:tc>
          <w:tcPr>
            <w:tcW w:type="dxa" w:w="1332"/>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[4]</w:t>
            </w:r>
          </w:p>
        </w:tc>
        <w:tc>
          <w:tcPr>
            <w:tcW w:type="dxa" w:w="1332"/>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[5]</w:t>
            </w:r>
          </w:p>
        </w:tc>
        <w:tc>
          <w:tcPr>
            <w:tcW w:type="dxa" w:w="1332"/>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[6]</w:t>
            </w:r>
          </w:p>
        </w:tc>
      </w:tr>
      <w:tr>
        <w:trPr>
          <w:cantSplit/>
        </w:trPr>
        <w:tc>
          <w:tcPr>
            <w:tcW w:type="dxa" w:w="794"/>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1</w:t>
            </w:r>
          </w:p>
        </w:tc>
        <w:tc>
          <w:tcPr>
            <w:tcW w:type="dxa" w:w="2948"/>
            <w:vAlign w:val="center"/>
          </w:tcPr>
          <w:p>
            <w:pPr>
              <w:keepNext w:val="0"/>
              <w:widowControl/>
              <w:spacing w:after="120" w:before="0" w:line="264" w:lineRule="auto"/>
              <w:ind w:firstLine="0"/>
              <w:jc w:val="both"/>
            </w:pPr>
            <w:r>
              <w:rPr>
                <w:rFonts w:ascii="Times New Roman" w:hAnsi="Times New Roman" w:eastAsia="Times New Roman"/>
                <w:b w:val="0"/>
                <w:i w:val="0"/>
                <w:color w:val="000000"/>
                <w:sz w:val="26"/>
              </w:rPr>
              <w:t>Chi phí bồi thường, hỗ trợ và tái định cư (nếu có)</w:t>
            </w: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r>
      <w:tr>
        <w:trPr>
          <w:cantSplit/>
        </w:trPr>
        <w:tc>
          <w:tcPr>
            <w:tcW w:type="dxa" w:w="794"/>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2</w:t>
            </w:r>
          </w:p>
        </w:tc>
        <w:tc>
          <w:tcPr>
            <w:tcW w:type="dxa" w:w="2948"/>
            <w:vAlign w:val="center"/>
          </w:tcPr>
          <w:p>
            <w:pPr>
              <w:keepNext w:val="0"/>
              <w:widowControl/>
              <w:spacing w:after="120" w:before="0" w:line="264" w:lineRule="auto"/>
              <w:ind w:firstLine="0"/>
              <w:jc w:val="both"/>
            </w:pPr>
            <w:r>
              <w:rPr>
                <w:rFonts w:ascii="Times New Roman" w:hAnsi="Times New Roman" w:eastAsia="Times New Roman"/>
                <w:b w:val="0"/>
                <w:i w:val="0"/>
                <w:color w:val="000000"/>
                <w:sz w:val="26"/>
              </w:rPr>
              <w:t>Chi phí xây dựng</w:t>
            </w: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r>
      <w:tr>
        <w:trPr>
          <w:cantSplit/>
        </w:trPr>
        <w:tc>
          <w:tcPr>
            <w:tcW w:type="dxa" w:w="794"/>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3</w:t>
            </w:r>
          </w:p>
        </w:tc>
        <w:tc>
          <w:tcPr>
            <w:tcW w:type="dxa" w:w="2948"/>
            <w:vAlign w:val="center"/>
          </w:tcPr>
          <w:p>
            <w:pPr>
              <w:keepNext w:val="0"/>
              <w:widowControl/>
              <w:spacing w:after="120" w:before="0" w:line="264" w:lineRule="auto"/>
              <w:ind w:firstLine="0"/>
              <w:jc w:val="both"/>
            </w:pPr>
            <w:r>
              <w:rPr>
                <w:rFonts w:ascii="Times New Roman" w:hAnsi="Times New Roman" w:eastAsia="Times New Roman"/>
                <w:b w:val="0"/>
                <w:i w:val="0"/>
                <w:color w:val="000000"/>
                <w:sz w:val="26"/>
              </w:rPr>
              <w:t>Chi phí thiết bị (nếu có)</w:t>
            </w: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r>
      <w:tr>
        <w:trPr>
          <w:cantSplit/>
        </w:trPr>
        <w:tc>
          <w:tcPr>
            <w:tcW w:type="dxa" w:w="794"/>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4</w:t>
            </w:r>
          </w:p>
        </w:tc>
        <w:tc>
          <w:tcPr>
            <w:tcW w:type="dxa" w:w="2948"/>
            <w:vAlign w:val="center"/>
          </w:tcPr>
          <w:p>
            <w:pPr>
              <w:keepNext w:val="0"/>
              <w:widowControl/>
              <w:spacing w:after="120" w:before="0" w:line="264" w:lineRule="auto"/>
              <w:ind w:firstLine="0"/>
              <w:jc w:val="both"/>
            </w:pPr>
            <w:r>
              <w:rPr>
                <w:rFonts w:ascii="Times New Roman" w:hAnsi="Times New Roman" w:eastAsia="Times New Roman"/>
                <w:b w:val="0"/>
                <w:i w:val="0"/>
                <w:color w:val="000000"/>
                <w:sz w:val="26"/>
              </w:rPr>
              <w:t>Chi phí quản lý dự án</w:t>
            </w: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r>
      <w:tr>
        <w:trPr>
          <w:cantSplit/>
        </w:trPr>
        <w:tc>
          <w:tcPr>
            <w:tcW w:type="dxa" w:w="794"/>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5</w:t>
            </w:r>
          </w:p>
        </w:tc>
        <w:tc>
          <w:tcPr>
            <w:tcW w:type="dxa" w:w="2948"/>
            <w:vAlign w:val="center"/>
          </w:tcPr>
          <w:p>
            <w:pPr>
              <w:keepNext w:val="0"/>
              <w:widowControl/>
              <w:spacing w:after="120" w:before="0" w:line="264" w:lineRule="auto"/>
              <w:ind w:firstLine="0"/>
              <w:jc w:val="both"/>
            </w:pPr>
            <w:r>
              <w:rPr>
                <w:rFonts w:ascii="Times New Roman" w:hAnsi="Times New Roman" w:eastAsia="Times New Roman"/>
                <w:b w:val="0"/>
                <w:i w:val="0"/>
                <w:color w:val="000000"/>
                <w:sz w:val="26"/>
              </w:rPr>
              <w:t>Chi phí tư vấn xây dựng</w:t>
            </w: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r>
      <w:tr>
        <w:trPr>
          <w:cantSplit/>
        </w:trPr>
        <w:tc>
          <w:tcPr>
            <w:tcW w:type="dxa" w:w="794"/>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6</w:t>
            </w:r>
          </w:p>
        </w:tc>
        <w:tc>
          <w:tcPr>
            <w:tcW w:type="dxa" w:w="2948"/>
            <w:vAlign w:val="center"/>
          </w:tcPr>
          <w:p>
            <w:pPr>
              <w:keepNext w:val="0"/>
              <w:widowControl/>
              <w:spacing w:after="120" w:before="0" w:line="264" w:lineRule="auto"/>
              <w:ind w:firstLine="0"/>
              <w:jc w:val="both"/>
            </w:pPr>
            <w:r>
              <w:rPr>
                <w:rFonts w:ascii="Times New Roman" w:hAnsi="Times New Roman" w:eastAsia="Times New Roman"/>
                <w:b w:val="0"/>
                <w:i w:val="0"/>
                <w:color w:val="000000"/>
                <w:sz w:val="26"/>
              </w:rPr>
              <w:t>Chi phí khác</w:t>
            </w: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r>
      <w:tr>
        <w:trPr>
          <w:cantSplit/>
        </w:trPr>
        <w:tc>
          <w:tcPr>
            <w:tcW w:type="dxa" w:w="794"/>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7</w:t>
            </w:r>
          </w:p>
        </w:tc>
        <w:tc>
          <w:tcPr>
            <w:tcW w:type="dxa" w:w="2948"/>
            <w:vAlign w:val="center"/>
          </w:tcPr>
          <w:p>
            <w:pPr>
              <w:keepNext w:val="0"/>
              <w:widowControl/>
              <w:spacing w:after="120" w:before="0" w:line="264" w:lineRule="auto"/>
              <w:ind w:firstLine="0"/>
              <w:jc w:val="both"/>
            </w:pPr>
            <w:r>
              <w:rPr>
                <w:rFonts w:ascii="Times New Roman" w:hAnsi="Times New Roman" w:eastAsia="Times New Roman"/>
                <w:b w:val="0"/>
                <w:i w:val="0"/>
                <w:color w:val="000000"/>
                <w:sz w:val="26"/>
              </w:rPr>
              <w:t>Chi phí dự phòng</w:t>
            </w: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r>
      <w:tr>
        <w:trPr>
          <w:cantSplit/>
        </w:trPr>
        <w:tc>
          <w:tcPr>
            <w:tcW w:type="dxa" w:w="794"/>
            <w:vAlign w:val="center"/>
          </w:tcPr>
          <w:p>
            <w:pPr>
              <w:keepNext w:val="0"/>
              <w:widowControl/>
              <w:spacing w:after="120" w:before="0" w:line="264" w:lineRule="auto"/>
              <w:ind w:firstLine="0"/>
              <w:jc w:val="center"/>
            </w:pPr>
          </w:p>
        </w:tc>
        <w:tc>
          <w:tcPr>
            <w:tcW w:type="dxa" w:w="2948"/>
            <w:vAlign w:val="center"/>
          </w:tcPr>
          <w:p>
            <w:pPr>
              <w:keepNext w:val="0"/>
              <w:widowControl/>
              <w:spacing w:after="120" w:before="0" w:line="264" w:lineRule="auto"/>
              <w:ind w:firstLine="0"/>
              <w:jc w:val="center"/>
            </w:pPr>
            <w:r>
              <w:rPr>
                <w:rFonts w:ascii="Times New Roman" w:hAnsi="Times New Roman" w:eastAsia="Times New Roman"/>
                <w:b/>
                <w:i w:val="0"/>
                <w:color w:val="000000"/>
                <w:sz w:val="26"/>
              </w:rPr>
              <w:t>Tổng cộng</w:t>
            </w: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r>
    </w:tbl>
    <w:p>
      <w:pPr>
        <w:keepNext w:val="0"/>
        <w:widowControl/>
        <w:spacing w:after="120" w:before="0" w:line="312" w:lineRule="auto"/>
        <w:ind w:firstLine="720"/>
        <w:jc w:val="both"/>
      </w:pPr>
      <w:r>
        <w:rPr>
          <w:rFonts w:ascii="Times New Roman" w:hAnsi="Times New Roman" w:eastAsia="Times New Roman"/>
          <w:b w:val="0"/>
          <w:i/>
          <w:color w:val="000000"/>
          <w:sz w:val="26"/>
        </w:rPr>
        <w:t>(Có phụ lục chi tiết kèm theo)</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Phân tích, đánh giá mức độ, nguyên nhân tăng, giảm của các khoản mục chi phí so với giá trị tổng mức đầu tư xây dựng do đơn vị tư vấn lập, thẩm tra (nếu có).</w:t>
      </w:r>
    </w:p>
    <w:p>
      <w:pPr>
        <w:keepNext/>
        <w:widowControl/>
        <w:spacing w:after="120" w:before="80" w:line="312" w:lineRule="auto"/>
        <w:ind w:firstLine="0"/>
        <w:jc w:val="both"/>
      </w:pPr>
      <w:r>
        <w:rPr>
          <w:rFonts w:ascii="Times New Roman" w:hAnsi="Times New Roman" w:eastAsia="Times New Roman"/>
          <w:b/>
          <w:i w:val="0"/>
          <w:color w:val="000000"/>
          <w:sz w:val="26"/>
        </w:rPr>
        <w:t>5. Kết luận và kiến nghị</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 xml:space="preserve">Hồ sơ và tổng mức đầu tư xây dựng </w:t>
      </w:r>
      <w:r>
        <w:rPr>
          <w:rFonts w:ascii="Times New Roman" w:hAnsi="Times New Roman" w:eastAsia="Times New Roman"/>
          <w:b w:val="0"/>
          <w:i/>
          <w:color w:val="000000"/>
          <w:sz w:val="26"/>
        </w:rPr>
        <w:t>(tên dự án)</w:t>
      </w:r>
      <w:r>
        <w:rPr>
          <w:rFonts w:ascii="Times New Roman" w:hAnsi="Times New Roman" w:eastAsia="Times New Roman"/>
          <w:b w:val="0"/>
          <w:i w:val="0"/>
          <w:color w:val="000000"/>
          <w:sz w:val="26"/>
        </w:rPr>
        <w:t xml:space="preserve"> đủ điều kiện để tổng hợp, trình phê duyệt và triển khai các bước tiếp theo. (Trường hợp chủ đầu tư là cơ quan, tổ chức trực thuộc có chuyên môn của người quyết định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 xml:space="preserve">Hồ sơ và tổng mức đầu tư xây dựng </w:t>
      </w:r>
      <w:r>
        <w:rPr>
          <w:rFonts w:ascii="Times New Roman" w:hAnsi="Times New Roman" w:eastAsia="Times New Roman"/>
          <w:b w:val="0"/>
          <w:i/>
          <w:color w:val="000000"/>
          <w:sz w:val="26"/>
        </w:rPr>
        <w:t>(tên dự án)</w:t>
      </w:r>
      <w:r>
        <w:rPr>
          <w:rFonts w:ascii="Times New Roman" w:hAnsi="Times New Roman" w:eastAsia="Times New Roman"/>
          <w:b w:val="0"/>
          <w:i w:val="0"/>
          <w:color w:val="000000"/>
          <w:sz w:val="26"/>
        </w:rPr>
        <w:t xml:space="preserve"> đủ điều kiện để trình cơ quan chủ trì thẩm định thuộc người quyết định đầu tư tổng hợp, trình phê duyệt và triển khai các bước tiếp theo. (Trường hợp chủ đầu tư không phải là cơ quan, tổ chức trực thuộc có chuyên môn của người quyết định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Kiến nghị (nếu có).</w:t>
      </w:r>
    </w:p>
    <w:tbl>
      <w:tblPr>
        <w:tblW w:type="auto" w:w="0"/>
        <w:jc w:val="center"/>
        <w:tblLayout w:type="fixed"/>
        <w:tblLook w:firstColumn="1" w:firstRow="1" w:lastColumn="0" w:lastRow="0" w:noHBand="0" w:noVBand="1" w:val="04A0"/>
      </w:tblPr>
      <w:tblGrid>
        <w:gridCol w:w="4989"/>
        <w:gridCol w:w="4082"/>
      </w:tblGrid>
      <w:tr>
        <w:trPr>
          <w:cantSplit/>
        </w:trPr>
        <w:tc>
          <w:tcPr>
            <w:tcW w:type="dxa" w:w="4989"/>
            <w:vAlign w:val="top"/>
          </w:tcPr>
          <w:p>
            <w:pPr>
              <w:keepNext w:val="0"/>
              <w:widowControl/>
              <w:spacing w:after="560" w:before="0" w:line="264" w:lineRule="auto"/>
              <w:ind w:firstLine="0"/>
              <w:jc w:val="left"/>
            </w:pPr>
            <w:r>
              <w:rPr>
                <w:rFonts w:ascii="Times New Roman" w:hAnsi="Times New Roman" w:eastAsia="Times New Roman"/>
                <w:b/>
                <w:i/>
                <w:color w:val="000000"/>
                <w:sz w:val="24"/>
              </w:rPr>
              <w:t>Nơi nhận: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Như trên;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Lưu.</w:t>
            </w:r>
          </w:p>
        </w:tc>
        <w:tc>
          <w:tcPr>
            <w:tcW w:type="dxa" w:w="4082"/>
            <w:vAlign w:val="top"/>
          </w:tcPr>
          <w:p>
            <w:pPr>
              <w:keepNext w:val="0"/>
              <w:widowControl/>
              <w:spacing w:after="560" w:before="0" w:line="264" w:lineRule="auto"/>
              <w:ind w:firstLine="0"/>
              <w:jc w:val="center"/>
            </w:pPr>
            <w:r>
              <w:rPr>
                <w:rFonts w:ascii="Times New Roman" w:hAnsi="Times New Roman" w:eastAsia="Times New Roman"/>
                <w:b/>
                <w:i w:val="0"/>
                <w:color w:val="000000"/>
                <w:sz w:val="26"/>
              </w:rPr>
              <w:t>CƠ QUAN THẨM ĐỊNH</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val="0"/>
                <w:i/>
                <w:color w:val="000000"/>
                <w:sz w:val="24"/>
              </w:rPr>
              <w:t>(Ký, ghi rõ họ tên, chức vụ và đóng dấu)</w:t>
            </w:r>
          </w:p>
        </w:tc>
      </w:tr>
    </w:tbl>
    <w:p>
      <w:pPr>
        <w:keepNext w:val="0"/>
        <w:widowControl/>
        <w:spacing w:after="120" w:before="0" w:line="312" w:lineRule="auto"/>
        <w:ind w:firstLine="720"/>
        <w:jc w:val="both"/>
      </w:pPr>
      <w:r>
        <w:rPr>
          <w:rFonts w:ascii="Times New Roman" w:hAnsi="Times New Roman" w:eastAsia="Times New Roman"/>
          <w:b w:val="0"/>
          <w:i w:val="0"/>
          <w:color w:val="000000"/>
          <w:sz w:val="22"/>
          <w:vertAlign w:val="superscript"/>
        </w:rPr>
        <w:t>2</w:t>
      </w:r>
      <w:r>
        <w:rPr>
          <w:rFonts w:ascii="Times New Roman" w:hAnsi="Times New Roman" w:eastAsia="Times New Roman"/>
          <w:b w:val="0"/>
          <w:i w:val="0"/>
          <w:color w:val="000000"/>
          <w:sz w:val="22"/>
        </w:rPr>
        <w:t xml:space="preserve"> Trường hợp chủ đầu tư không phải là cơ quan, tổ chức trực thuộc có chuyên môn của người quyết định đầu tư thì trình cơ quan chủ trì thẩm định thuộc người quyết định đầu tư</w:t>
      </w:r>
    </w:p>
    <w:sectPr w:rsidR="00FC693F" w:rsidRPr="0006063C" w:rsidSect="00034616">
      <w:headerReference w:type="default" r:id="rId9"/>
      <w:headerReference w:type="first" r:id="rId10"/>
      <w:pgSz w:w="11906" w:h="16838"/>
      <w:pgMar w:top="1417" w:right="1134" w:bottom="1417"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04 – Thẩm định tổng mức đầu tư - FEED, thiết kế kỹ thuật, BCKTKT</dc:title>
  <dc:subject>Phụ lục VIII – 36/2026/TT-BXD</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