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3628"/>
        <w:gridCol w:w="5443"/>
      </w:tblGrid>
      <w:tr>
        <w:trPr>
          <w:cantSplit/>
        </w:trPr>
        <w:tc>
          <w:tcPr>
            <w:tcW w:type="dxa" w:w="3628"/>
            <w:vAlign w:val="top"/>
          </w:tcPr>
          <w:p>
            <w:pPr>
              <w:keepNext w:val="0"/>
              <w:widowControl/>
              <w:spacing w:after="120" w:before="0" w:line="264" w:lineRule="auto"/>
              <w:ind w:firstLine="0"/>
              <w:jc w:val="center"/>
            </w:pPr>
            <w:bookmarkStart w:id="1" w:name="buildsia_agency"/>
            <w:r>
              <w:rPr>
                <w:rFonts w:ascii="Times New Roman" w:hAnsi="Times New Roman" w:eastAsia="Times New Roman"/>
                <w:b/>
                <w:i w:val="0"/>
                <w:color w:val="000000"/>
                <w:sz w:val="26"/>
              </w:rPr>
              <w:t>CƠ QUAN CHUYÊN MÔN VỀ XÂY DỰNG</w:t>
            </w:r>
            <w:bookmarkEnd w:id="1"/>
            <w:r>
              <w:rPr>
                <w:rFonts w:ascii="Times New Roman" w:hAnsi="Times New Roman" w:eastAsia="Times New Roman"/>
                <w:b/>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i w:val="0"/>
                <w:color w:val="000000"/>
                <w:sz w:val="26"/>
              </w:rPr>
            </w:r>
            <w:r>
              <w:rPr>
                <w:rFonts w:ascii="Times New Roman" w:hAnsi="Times New Roman" w:eastAsia="Times New Roman"/>
                <w:b/>
                <w:i w:val="0"/>
                <w:color w:val="000000"/>
                <w:sz w:val="26"/>
              </w:rPr>
              <w:t>-------</w:t>
            </w:r>
          </w:p>
          <w:p>
            <w:pPr>
              <w:keepNext w:val="0"/>
              <w:widowControl/>
              <w:spacing w:after="120" w:before="0" w:line="264" w:lineRule="auto"/>
              <w:ind w:firstLine="0"/>
              <w:jc w:val="center"/>
            </w:pPr>
            <w:bookmarkStart w:id="2" w:name="buildsia_number"/>
            <w:r>
              <w:rPr>
                <w:rFonts w:ascii="Times New Roman" w:hAnsi="Times New Roman" w:eastAsia="Times New Roman"/>
                <w:b w:val="0"/>
                <w:i w:val="0"/>
                <w:color w:val="000000"/>
                <w:sz w:val="26"/>
              </w:rPr>
              <w:t>(Số hiệu văn bản)</w:t>
            </w:r>
            <w:bookmarkEnd w:id="2"/>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t>V/v thông báo kết quả thẩm định dự toán xây dựng công trình ....</w:t>
            </w:r>
          </w:p>
        </w:tc>
        <w:tc>
          <w:tcPr>
            <w:tcW w:type="dxa" w:w="5443"/>
            <w:vAlign w:val="top"/>
          </w:tcPr>
          <w:p>
            <w:pPr>
              <w:keepNext w:val="0"/>
              <w:widowControl/>
              <w:spacing w:after="120" w:before="0" w:line="264" w:lineRule="auto"/>
              <w:ind w:firstLine="0"/>
              <w:jc w:val="center"/>
            </w:pPr>
            <w:r>
              <w:rPr>
                <w:rFonts w:ascii="Times New Roman" w:hAnsi="Times New Roman" w:eastAsia="Times New Roman"/>
                <w:b/>
                <w:i w:val="0"/>
                <w:color w:val="000000"/>
                <w:sz w:val="24"/>
              </w:rPr>
              <w:t>CỘNG HÒA XÃ HỘI CHỦ NGHĨA VIỆT NAM</w:t>
            </w:r>
          </w:p>
          <w:p>
            <w:pPr>
              <w:keepNext w:val="0"/>
              <w:widowControl/>
              <w:spacing w:after="120" w:before="0" w:line="264" w:lineRule="auto"/>
              <w:ind w:firstLine="0"/>
              <w:jc w:val="center"/>
            </w:pPr>
            <w:r>
              <w:rPr>
                <w:rFonts w:ascii="Times New Roman" w:hAnsi="Times New Roman" w:eastAsia="Times New Roman"/>
                <w:b/>
                <w:i w:val="0"/>
                <w:color w:val="000000"/>
                <w:sz w:val="26"/>
              </w:rPr>
              <w:t>Độc lập - Tự do - Hạnh phúc</w:t>
            </w:r>
            <w:r>
              <w:rPr>
                <w:rFonts w:ascii="Times New Roman" w:hAnsi="Times New Roman" w:eastAsia="Times New Roman"/>
                <w:b/>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i w:val="0"/>
                <w:color w:val="000000"/>
                <w:sz w:val="26"/>
              </w:rPr>
            </w:r>
            <w:r>
              <w:rPr>
                <w:rFonts w:ascii="Times New Roman" w:hAnsi="Times New Roman" w:eastAsia="Times New Roman"/>
                <w:b/>
                <w:i w:val="0"/>
                <w:color w:val="000000"/>
                <w:sz w:val="26"/>
              </w:rPr>
              <w:t>--------------------------------</w:t>
            </w:r>
          </w:p>
          <w:p>
            <w:pPr>
              <w:keepNext w:val="0"/>
              <w:widowControl/>
              <w:spacing w:after="120" w:before="0" w:line="264" w:lineRule="auto"/>
              <w:ind w:firstLine="0"/>
              <w:jc w:val="center"/>
            </w:pPr>
            <w:bookmarkStart w:id="3" w:name="buildsia_date"/>
            <w:r>
              <w:rPr>
                <w:rFonts w:ascii="Times New Roman" w:hAnsi="Times New Roman" w:eastAsia="Times New Roman"/>
                <w:b w:val="0"/>
                <w:i/>
                <w:color w:val="000000"/>
                <w:sz w:val="26"/>
              </w:rPr>
              <w:t>…………, ngày … tháng … năm …..</w:t>
            </w:r>
            <w:bookmarkEnd w:id="3"/>
          </w:p>
        </w:tc>
      </w:tr>
    </w:tbl>
    <w:p>
      <w:pPr>
        <w:keepNext w:val="0"/>
        <w:widowControl/>
        <w:spacing w:after="120" w:before="0" w:line="312" w:lineRule="auto"/>
        <w:ind w:firstLine="0"/>
        <w:jc w:val="center"/>
      </w:pPr>
      <w:bookmarkStart w:id="4" w:name="buildsia_recipient"/>
      <w:r>
        <w:rPr>
          <w:rFonts w:ascii="Times New Roman" w:hAnsi="Times New Roman" w:eastAsia="Times New Roman"/>
          <w:b w:val="0"/>
          <w:i w:val="0"/>
          <w:color w:val="000000"/>
          <w:sz w:val="26"/>
        </w:rPr>
        <w:t xml:space="preserve">Kính gửi: </w:t>
      </w:r>
      <w:r>
        <w:rPr>
          <w:rFonts w:ascii="Times New Roman" w:hAnsi="Times New Roman" w:eastAsia="Times New Roman"/>
          <w:b w:val="0"/>
          <w:i/>
          <w:color w:val="000000"/>
          <w:sz w:val="26"/>
        </w:rPr>
        <w:t>(Tên Chủ đầu tư)</w:t>
      </w:r>
      <w:bookmarkEnd w:id="4"/>
    </w:p>
    <w:p>
      <w:pPr>
        <w:keepNext w:val="0"/>
        <w:widowControl/>
        <w:spacing w:after="120" w:before="0" w:line="312" w:lineRule="auto"/>
        <w:ind w:firstLine="720"/>
        <w:jc w:val="both"/>
      </w:pPr>
      <w:r>
        <w:rPr>
          <w:rFonts w:ascii="Times New Roman" w:hAnsi="Times New Roman" w:eastAsia="Times New Roman"/>
          <w:b w:val="0"/>
          <w:i/>
          <w:color w:val="000000"/>
          <w:sz w:val="26"/>
        </w:rPr>
        <w:t>(Cơ quan chuyên môn về xây dựng)</w:t>
      </w:r>
      <w:r>
        <w:rPr>
          <w:rFonts w:ascii="Times New Roman" w:hAnsi="Times New Roman" w:eastAsia="Times New Roman"/>
          <w:b w:val="0"/>
          <w:i w:val="0"/>
          <w:color w:val="000000"/>
          <w:sz w:val="26"/>
        </w:rPr>
        <w:t xml:space="preserve"> đã nhận Tờ trình số … ngày … tháng … năm … của </w:t>
      </w:r>
      <w:r>
        <w:rPr>
          <w:rFonts w:ascii="Times New Roman" w:hAnsi="Times New Roman" w:eastAsia="Times New Roman"/>
          <w:b w:val="0"/>
          <w:i/>
          <w:color w:val="000000"/>
          <w:sz w:val="26"/>
        </w:rPr>
        <w:t>(chủ đầu tư)</w:t>
      </w:r>
      <w:r>
        <w:rPr>
          <w:rFonts w:ascii="Times New Roman" w:hAnsi="Times New Roman" w:eastAsia="Times New Roman"/>
          <w:b w:val="0"/>
          <w:i w:val="0"/>
          <w:color w:val="000000"/>
          <w:sz w:val="26"/>
        </w:rPr>
        <w:t xml:space="preserve"> trình thẩm định dự toán xây dựng công trình </w:t>
      </w:r>
      <w:r>
        <w:rPr>
          <w:rFonts w:ascii="Times New Roman" w:hAnsi="Times New Roman" w:eastAsia="Times New Roman"/>
          <w:b w:val="0"/>
          <w:i/>
          <w:color w:val="000000"/>
          <w:sz w:val="26"/>
        </w:rPr>
        <w:t>(tên công trình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Căn cứ Luật Xây dựng năm 2025;</w:t>
      </w:r>
    </w:p>
    <w:p>
      <w:pPr>
        <w:keepNext w:val="0"/>
        <w:widowControl/>
        <w:spacing w:after="120" w:before="0" w:line="312" w:lineRule="auto"/>
        <w:ind w:firstLine="720"/>
        <w:jc w:val="both"/>
      </w:pPr>
      <w:r>
        <w:rPr>
          <w:rFonts w:ascii="Times New Roman" w:hAnsi="Times New Roman" w:eastAsia="Times New Roman"/>
          <w:b w:val="0"/>
          <w:i w:val="0"/>
          <w:color w:val="000000"/>
          <w:sz w:val="26"/>
        </w:rPr>
        <w:t>Căn cứ Nghị định số 206/2026/NĐ-CP ngày 15 tháng 06 năm 2026 của Chính phủ quy định chi tiết về quản lý chi phí đầu tư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Các căn cứ pháp lý khác có liên quan;</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Sau khi xem xét, </w:t>
      </w:r>
      <w:r>
        <w:rPr>
          <w:rFonts w:ascii="Times New Roman" w:hAnsi="Times New Roman" w:eastAsia="Times New Roman"/>
          <w:b w:val="0"/>
          <w:i/>
          <w:color w:val="000000"/>
          <w:sz w:val="26"/>
        </w:rPr>
        <w:t>(cơ quan chuyên môn về xây dựng)</w:t>
      </w:r>
      <w:r>
        <w:rPr>
          <w:rFonts w:ascii="Times New Roman" w:hAnsi="Times New Roman" w:eastAsia="Times New Roman"/>
          <w:b w:val="0"/>
          <w:i w:val="0"/>
          <w:color w:val="000000"/>
          <w:sz w:val="26"/>
        </w:rPr>
        <w:t xml:space="preserve"> thông báo kết quả thẩm định dự toán xây dựng công trình </w:t>
      </w:r>
      <w:r>
        <w:rPr>
          <w:rFonts w:ascii="Times New Roman" w:hAnsi="Times New Roman" w:eastAsia="Times New Roman"/>
          <w:b w:val="0"/>
          <w:i/>
          <w:color w:val="000000"/>
          <w:sz w:val="26"/>
        </w:rPr>
        <w:t>(tên công trình của dự án)</w:t>
      </w:r>
      <w:r>
        <w:rPr>
          <w:rFonts w:ascii="Times New Roman" w:hAnsi="Times New Roman" w:eastAsia="Times New Roman"/>
          <w:b w:val="0"/>
          <w:i w:val="0"/>
          <w:color w:val="000000"/>
          <w:sz w:val="26"/>
        </w:rPr>
        <w:t xml:space="preserve"> như sau:</w:t>
      </w:r>
    </w:p>
    <w:p>
      <w:pPr>
        <w:keepNext/>
        <w:widowControl/>
        <w:spacing w:after="120" w:before="80" w:line="312" w:lineRule="auto"/>
        <w:ind w:firstLine="0"/>
        <w:jc w:val="both"/>
      </w:pPr>
      <w:r>
        <w:rPr>
          <w:rFonts w:ascii="Times New Roman" w:hAnsi="Times New Roman" w:eastAsia="Times New Roman"/>
          <w:b/>
          <w:i w:val="0"/>
          <w:color w:val="000000"/>
          <w:sz w:val="26"/>
        </w:rPr>
        <w:t>1. Thông tin về công trình</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Tên công trình;</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Mã định danh:</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Loại và cấp công trình:</w:t>
      </w:r>
    </w:p>
    <w:p>
      <w:pPr>
        <w:keepNext w:val="0"/>
        <w:widowControl/>
        <w:spacing w:after="120" w:before="0" w:line="312" w:lineRule="auto"/>
        <w:ind w:firstLine="720"/>
        <w:jc w:val="both"/>
      </w:pPr>
      <w:bookmarkStart w:id="5" w:name="buildsia_project"/>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Tên dự án đầu tư xây dựng:</w:t>
      </w:r>
      <w:bookmarkEnd w:id="5"/>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Địa điểm xây dựng công trình: (</w:t>
      </w:r>
      <w:r>
        <w:rPr>
          <w:rFonts w:ascii="Times New Roman" w:hAnsi="Times New Roman" w:eastAsia="Times New Roman"/>
          <w:b w:val="0"/>
          <w:i/>
          <w:color w:val="000000"/>
          <w:sz w:val="26"/>
        </w:rPr>
        <w:t>ghi địa danh cấp xã, tỉnh</w:t>
      </w:r>
      <w:r>
        <w:rPr>
          <w:rFonts w:ascii="Times New Roman" w:hAnsi="Times New Roman" w:eastAsia="Times New Roman"/>
          <w:b w:val="0"/>
          <w:i w:val="0"/>
          <w:color w:val="000000"/>
          <w:sz w:val="26"/>
        </w:rPr>
        <w:t>)</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Chủ đầu tư:</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Giá trị dự toán xây dựng công trình trình thẩm định:</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Nguồn vốn đầu tư:</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Nhà thầu tư vấn lập dự toán xây dựng công trình: (</w:t>
      </w:r>
      <w:r>
        <w:rPr>
          <w:rFonts w:ascii="Times New Roman" w:hAnsi="Times New Roman" w:eastAsia="Times New Roman"/>
          <w:b w:val="0"/>
          <w:i/>
          <w:color w:val="000000"/>
          <w:sz w:val="26"/>
        </w:rPr>
        <w:t>tên nhà thầu, mã số doanh nghiệp</w:t>
      </w:r>
      <w:r>
        <w:rPr>
          <w:rFonts w:ascii="Times New Roman" w:hAnsi="Times New Roman" w:eastAsia="Times New Roman"/>
          <w:b w:val="0"/>
          <w:i w:val="0"/>
          <w:color w:val="000000"/>
          <w:sz w:val="26"/>
        </w:rPr>
        <w:t>)</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Nhà thầu thẩm tra dự toán xây dựng công trình (nếu có): (</w:t>
      </w:r>
      <w:r>
        <w:rPr>
          <w:rFonts w:ascii="Times New Roman" w:hAnsi="Times New Roman" w:eastAsia="Times New Roman"/>
          <w:b w:val="0"/>
          <w:i/>
          <w:color w:val="000000"/>
          <w:sz w:val="26"/>
        </w:rPr>
        <w:t>tên nhà thầu, mã số doanh nghiệp</w:t>
      </w:r>
      <w:r>
        <w:rPr>
          <w:rFonts w:ascii="Times New Roman" w:hAnsi="Times New Roman" w:eastAsia="Times New Roman"/>
          <w:b w:val="0"/>
          <w:i w:val="0"/>
          <w:color w:val="000000"/>
          <w:sz w:val="26"/>
        </w:rPr>
        <w:t>)</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Các thông tin khác (nếu có).</w:t>
      </w:r>
    </w:p>
    <w:p>
      <w:pPr>
        <w:keepNext/>
        <w:widowControl/>
        <w:spacing w:after="120" w:before="80" w:line="312" w:lineRule="auto"/>
        <w:ind w:firstLine="0"/>
        <w:jc w:val="both"/>
      </w:pPr>
      <w:r>
        <w:rPr>
          <w:rFonts w:ascii="Times New Roman" w:hAnsi="Times New Roman" w:eastAsia="Times New Roman"/>
          <w:b/>
          <w:i w:val="0"/>
          <w:color w:val="000000"/>
          <w:sz w:val="26"/>
        </w:rPr>
        <w:t>2. Hồ sơ trình thẩm định</w:t>
      </w:r>
    </w:p>
    <w:p>
      <w:pPr>
        <w:keepNext w:val="0"/>
        <w:widowControl/>
        <w:spacing w:after="120" w:before="0" w:line="312" w:lineRule="auto"/>
        <w:ind w:firstLine="720"/>
        <w:jc w:val="both"/>
      </w:pPr>
      <w:r>
        <w:rPr>
          <w:rFonts w:ascii="Times New Roman" w:hAnsi="Times New Roman" w:eastAsia="Times New Roman"/>
          <w:b w:val="0"/>
          <w:i w:val="0"/>
          <w:color w:val="000000"/>
          <w:sz w:val="26"/>
        </w:rPr>
        <w:t>2.1. Văn bản pháp lý</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Tờ trình thẩm định;</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Văn bản phê duyệt dự án, tổng mức đầu tư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Các văn bản cơ sở pháp lý liên quan đến dự án, xác định dự toán xây dựng công trình: Luật, Nghị định, Thông tư; các văn bản, tài liệu khác có liên quan đến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2.2. Hồ sơ, tài liệu của công trình:</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Hồ sơ dự án đã phê duyệt (Quyết định phê duyệt dự án, Báo cáo nghiên cứu khả thi của Dự án, các tài liệu pháp lý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Hồ sơ thiết kế xây dựng sau khi dự án được phê duyệt của công trình;</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Kết quả thẩm định thiết kế xây dựng và quyết định phê duyệt thiết kế xây dựng triển khai sau khi dự án được phê duyệt của công trình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Hồ sơ xác định dự toán xây dựng công trình (gồm thuyết minh xác định dự toán xây dựng công trình, chi tiết tính toán dự toán xây dựng công trình và các tài liệu có liên quan (nếu có)); được hoàn thiện theo ý kiến thẩm tra (nếu có), kèm theo nội dung kiểm tra, rà soát, thẩm định hồ sơ dự toán xây dựng doanh nghiệp dự án PPP trước khi trình thẩm định</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Báo cáo kết quả thẩm tra dự toán xây dựng công trình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Các hồ sơ, tài liệu khác liên quan đến dự án, công trình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Các hồ sơ, tài liệu khác sử dụng trong quá trình thẩm định.</w:t>
      </w:r>
    </w:p>
    <w:p>
      <w:pPr>
        <w:keepNext/>
        <w:widowControl/>
        <w:spacing w:after="120" w:before="80" w:line="312" w:lineRule="auto"/>
        <w:ind w:firstLine="0"/>
        <w:jc w:val="both"/>
      </w:pPr>
      <w:r>
        <w:rPr>
          <w:rFonts w:ascii="Times New Roman" w:hAnsi="Times New Roman" w:eastAsia="Times New Roman"/>
          <w:b/>
          <w:i w:val="0"/>
          <w:color w:val="000000"/>
          <w:sz w:val="26"/>
        </w:rPr>
        <w:t>3. Nội dung hồ sơ dự toán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Tóm tắt nội dung thông tin cơ bản dự án, công trình; phạm vi, nội dung dự toán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Giá trị dự toán xây dựng: bao gồm các khoản mục chi phí theo công trình, hạng mục công trình thuộc dự án; các dự án thành phần, phân kỳ đầu tư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Kết luận về việc đủ điều kiện/chưa đủ điều kiện để thực hiện thẩm định.</w:t>
      </w:r>
    </w:p>
    <w:p>
      <w:pPr>
        <w:keepNext/>
        <w:widowControl/>
        <w:spacing w:after="120" w:before="80" w:line="312" w:lineRule="auto"/>
        <w:ind w:firstLine="0"/>
        <w:jc w:val="both"/>
      </w:pPr>
      <w:r>
        <w:rPr>
          <w:rFonts w:ascii="Times New Roman" w:hAnsi="Times New Roman" w:eastAsia="Times New Roman"/>
          <w:b/>
          <w:i w:val="0"/>
          <w:color w:val="000000"/>
          <w:sz w:val="26"/>
        </w:rPr>
        <w:t>4. Nguyên tắc thẩm định</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Phạm vi thẩm định, các nội dung không thực hiện thẩm định (nếu có), lý do....;</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Nêu các nguyên tắc thẩm định đối với hồ sơ trình thẩm định dự toán xây dựng công trình.</w:t>
      </w:r>
    </w:p>
    <w:p>
      <w:pPr>
        <w:keepNext/>
        <w:widowControl/>
        <w:spacing w:after="120" w:before="80" w:line="312" w:lineRule="auto"/>
        <w:ind w:firstLine="0"/>
        <w:jc w:val="both"/>
      </w:pPr>
      <w:r>
        <w:rPr>
          <w:rFonts w:ascii="Times New Roman" w:hAnsi="Times New Roman" w:eastAsia="Times New Roman"/>
          <w:b/>
          <w:i w:val="0"/>
          <w:color w:val="000000"/>
          <w:sz w:val="26"/>
        </w:rPr>
        <w:t>5. Ý kiến thẩm định</w:t>
      </w:r>
    </w:p>
    <w:p>
      <w:pPr>
        <w:keepNext w:val="0"/>
        <w:widowControl/>
        <w:spacing w:after="120" w:before="0" w:line="312" w:lineRule="auto"/>
        <w:ind w:firstLine="720"/>
        <w:jc w:val="both"/>
      </w:pPr>
      <w:r>
        <w:rPr>
          <w:rFonts w:ascii="Times New Roman" w:hAnsi="Times New Roman" w:eastAsia="Times New Roman"/>
          <w:b/>
          <w:i/>
          <w:color w:val="000000"/>
          <w:sz w:val="26"/>
        </w:rPr>
        <w:t>5.1. Sự đầy đủ, tính hợp lệ của hồ sơ trình thẩm định dự toán xây dựng công trình; các căn cứ pháp lý để xác định dự toán xây dựng công trình</w:t>
      </w:r>
    </w:p>
    <w:p>
      <w:pPr>
        <w:keepNext w:val="0"/>
        <w:widowControl/>
        <w:spacing w:after="120" w:before="0" w:line="312" w:lineRule="auto"/>
        <w:ind w:firstLine="720"/>
        <w:jc w:val="both"/>
      </w:pPr>
      <w:r>
        <w:rPr>
          <w:rFonts w:ascii="Times New Roman" w:hAnsi="Times New Roman" w:eastAsia="Times New Roman"/>
          <w:b w:val="0"/>
          <w:i w:val="0"/>
          <w:color w:val="000000"/>
          <w:sz w:val="26"/>
        </w:rPr>
        <w:t>5.1.1. Về hồ sơ trình thẩm định dự toán xây dựng công trình</w:t>
      </w:r>
    </w:p>
    <w:p>
      <w:pPr>
        <w:keepNext w:val="0"/>
        <w:widowControl/>
        <w:spacing w:after="120" w:before="0" w:line="312" w:lineRule="auto"/>
        <w:ind w:firstLine="720"/>
        <w:jc w:val="both"/>
      </w:pPr>
      <w:r>
        <w:rPr>
          <w:rFonts w:ascii="Times New Roman" w:hAnsi="Times New Roman" w:eastAsia="Times New Roman"/>
          <w:b w:val="0"/>
          <w:i w:val="0"/>
          <w:color w:val="000000"/>
          <w:sz w:val="26"/>
        </w:rPr>
        <w:t>5.1.2. Về các căn cứ pháp lý để xác định dự toán xây dựng công trình</w:t>
      </w:r>
    </w:p>
    <w:p>
      <w:pPr>
        <w:keepNext w:val="0"/>
        <w:widowControl/>
        <w:spacing w:after="120" w:before="0" w:line="312" w:lineRule="auto"/>
        <w:ind w:firstLine="720"/>
        <w:jc w:val="both"/>
      </w:pPr>
      <w:r>
        <w:rPr>
          <w:rFonts w:ascii="Times New Roman" w:hAnsi="Times New Roman" w:eastAsia="Times New Roman"/>
          <w:b/>
          <w:i/>
          <w:color w:val="000000"/>
          <w:sz w:val="26"/>
        </w:rPr>
        <w:t>5.2. Sự phù hợp của việc xác định các khoản mục chi phí trong dự toán xây dựng công trình với các nội dung và yêu cầu của công trình</w:t>
      </w:r>
    </w:p>
    <w:p>
      <w:pPr>
        <w:keepNext w:val="0"/>
        <w:widowControl/>
        <w:spacing w:after="120" w:before="0" w:line="312" w:lineRule="auto"/>
        <w:ind w:firstLine="720"/>
        <w:jc w:val="both"/>
      </w:pPr>
      <w:r>
        <w:rPr>
          <w:rFonts w:ascii="Times New Roman" w:hAnsi="Times New Roman" w:eastAsia="Times New Roman"/>
          <w:b w:val="0"/>
          <w:i w:val="0"/>
          <w:color w:val="000000"/>
          <w:sz w:val="26"/>
        </w:rPr>
        <w:t>5.2.1. Chi phí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5.2.2. Chi phí thiết bị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5.2.3. Chi phí quản lý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5.2.4. Chi phí tư vấn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5.2.5. Chi phí khác</w:t>
      </w:r>
    </w:p>
    <w:p>
      <w:pPr>
        <w:keepNext w:val="0"/>
        <w:widowControl/>
        <w:spacing w:after="120" w:before="0" w:line="312" w:lineRule="auto"/>
        <w:ind w:firstLine="720"/>
        <w:jc w:val="both"/>
      </w:pPr>
      <w:r>
        <w:rPr>
          <w:rFonts w:ascii="Times New Roman" w:hAnsi="Times New Roman" w:eastAsia="Times New Roman"/>
          <w:b w:val="0"/>
          <w:i w:val="0"/>
          <w:color w:val="000000"/>
          <w:sz w:val="26"/>
        </w:rPr>
        <w:t>5.2.6. Chi phí dự phòng</w:t>
      </w:r>
    </w:p>
    <w:p>
      <w:pPr>
        <w:keepNext w:val="0"/>
        <w:widowControl/>
        <w:spacing w:after="120" w:before="0" w:line="312" w:lineRule="auto"/>
        <w:ind w:firstLine="720"/>
        <w:jc w:val="both"/>
      </w:pPr>
      <w:r>
        <w:rPr>
          <w:rFonts w:ascii="Times New Roman" w:hAnsi="Times New Roman" w:eastAsia="Times New Roman"/>
          <w:b/>
          <w:i/>
          <w:color w:val="000000"/>
          <w:sz w:val="26"/>
        </w:rPr>
        <w:t>5.3. Sự phù hợp của việc áp dụng các quy định pháp luật về quản lý chi phí đầu tư xây dựng; đánh giá, nhận xét về việc tham khảo, sử dụng hệ thống công cụ để xác định dự toán xây dựng công trình</w:t>
      </w:r>
    </w:p>
    <w:p>
      <w:pPr>
        <w:keepNext w:val="0"/>
        <w:widowControl/>
        <w:spacing w:after="120" w:before="0" w:line="312" w:lineRule="auto"/>
        <w:ind w:firstLine="720"/>
        <w:jc w:val="both"/>
      </w:pPr>
      <w:r>
        <w:rPr>
          <w:rFonts w:ascii="Times New Roman" w:hAnsi="Times New Roman" w:eastAsia="Times New Roman"/>
          <w:b w:val="0"/>
          <w:i w:val="0"/>
          <w:color w:val="000000"/>
          <w:sz w:val="26"/>
        </w:rPr>
        <w:t>5.3.1. Việc áp dụng các quy định pháp luật về quản lý chi phí đầu tư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5.3.2. Việc tham khảo, sử dụng hệ thống công cụ để xác định dự toán xây dựng công trình</w:t>
      </w:r>
    </w:p>
    <w:p>
      <w:pPr>
        <w:keepNext w:val="0"/>
        <w:widowControl/>
        <w:spacing w:after="120" w:before="0" w:line="312" w:lineRule="auto"/>
        <w:ind w:firstLine="720"/>
        <w:jc w:val="both"/>
      </w:pPr>
      <w:r>
        <w:rPr>
          <w:rFonts w:ascii="Times New Roman" w:hAnsi="Times New Roman" w:eastAsia="Times New Roman"/>
          <w:b/>
          <w:i/>
          <w:color w:val="000000"/>
          <w:sz w:val="26"/>
        </w:rPr>
        <w:t>5.4. Yêu cầu về việc hoàn thiện hồ sơ và dự toán xây dựng công trình (nếu có)</w:t>
      </w:r>
    </w:p>
    <w:p>
      <w:pPr>
        <w:keepNext/>
        <w:widowControl/>
        <w:spacing w:after="120" w:before="80" w:line="312" w:lineRule="auto"/>
        <w:ind w:firstLine="0"/>
        <w:jc w:val="both"/>
      </w:pPr>
      <w:r>
        <w:rPr>
          <w:rFonts w:ascii="Times New Roman" w:hAnsi="Times New Roman" w:eastAsia="Times New Roman"/>
          <w:b/>
          <w:i w:val="0"/>
          <w:color w:val="000000"/>
          <w:sz w:val="26"/>
        </w:rPr>
        <w:t>6. Kết luận và kiến nghị</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 xml:space="preserve">Kết luận: Hồ sơ và dự toán xây dựng công trình </w:t>
      </w:r>
      <w:r>
        <w:rPr>
          <w:rFonts w:ascii="Times New Roman" w:hAnsi="Times New Roman" w:eastAsia="Times New Roman"/>
          <w:b w:val="0"/>
          <w:i/>
          <w:color w:val="000000"/>
          <w:sz w:val="26"/>
        </w:rPr>
        <w:t>(tên công trình của dự án)</w:t>
      </w:r>
      <w:r>
        <w:rPr>
          <w:rFonts w:ascii="Times New Roman" w:hAnsi="Times New Roman" w:eastAsia="Times New Roman"/>
          <w:b w:val="0"/>
          <w:i w:val="0"/>
          <w:color w:val="000000"/>
          <w:sz w:val="26"/>
        </w:rPr>
        <w:t xml:space="preserve"> đủ điều kiện/chưa đủ điều kiện/chỉ đủ điều kiện sau khi hoàn thiện các nội dung yêu cầu để tổng hợp, trình phê duyệt và triển khai các bước tiếp theo.</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Kiến nghị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Trên đây là thông báo của </w:t>
      </w:r>
      <w:r>
        <w:rPr>
          <w:rFonts w:ascii="Times New Roman" w:hAnsi="Times New Roman" w:eastAsia="Times New Roman"/>
          <w:b w:val="0"/>
          <w:i/>
          <w:color w:val="000000"/>
          <w:sz w:val="26"/>
        </w:rPr>
        <w:t>(cơ quan chuyên môn về xây dựng)</w:t>
      </w:r>
      <w:r>
        <w:rPr>
          <w:rFonts w:ascii="Times New Roman" w:hAnsi="Times New Roman" w:eastAsia="Times New Roman"/>
          <w:b w:val="0"/>
          <w:i/>
          <w:color w:val="000000"/>
          <w:sz w:val="26"/>
        </w:rPr>
        <w:t xml:space="preserve"> về kết quả thẩm định dự toán xây dựng công trình</w:t>
      </w:r>
      <w:r>
        <w:rPr>
          <w:rFonts w:ascii="Times New Roman" w:hAnsi="Times New Roman" w:eastAsia="Times New Roman"/>
          <w:b w:val="0"/>
          <w:i/>
          <w:color w:val="000000"/>
          <w:sz w:val="26"/>
        </w:rPr>
        <w:t xml:space="preserve"> (tên công trình của dự án)</w:t>
      </w:r>
      <w:r>
        <w:rPr>
          <w:rFonts w:ascii="Times New Roman" w:hAnsi="Times New Roman" w:eastAsia="Times New Roman"/>
          <w:b w:val="0"/>
          <w:i w:val="0"/>
          <w:color w:val="000000"/>
          <w:sz w:val="26"/>
        </w:rPr>
        <w:t>. Đề nghị (</w:t>
      </w:r>
      <w:r>
        <w:rPr>
          <w:rFonts w:ascii="Times New Roman" w:hAnsi="Times New Roman" w:eastAsia="Times New Roman"/>
          <w:b w:val="0"/>
          <w:i/>
          <w:color w:val="000000"/>
          <w:sz w:val="26"/>
        </w:rPr>
        <w:t>chủ đầu tư</w:t>
      </w:r>
      <w:r>
        <w:rPr>
          <w:rFonts w:ascii="Times New Roman" w:hAnsi="Times New Roman" w:eastAsia="Times New Roman"/>
          <w:b w:val="0"/>
          <w:i w:val="0"/>
          <w:color w:val="000000"/>
          <w:sz w:val="26"/>
        </w:rPr>
        <w:t>) nghiên cứu thực hiện theo quy định.</w:t>
      </w:r>
    </w:p>
    <w:tbl>
      <w:tblPr>
        <w:tblW w:type="auto" w:w="0"/>
        <w:jc w:val="center"/>
        <w:tblLayout w:type="fixed"/>
        <w:tblLook w:firstColumn="1" w:firstRow="1" w:lastColumn="0" w:lastRow="0" w:noHBand="0" w:noVBand="1" w:val="04A0"/>
      </w:tblPr>
      <w:tblGrid>
        <w:gridCol w:w="4989"/>
        <w:gridCol w:w="4082"/>
      </w:tblGrid>
      <w:tr>
        <w:trPr>
          <w:cantSplit/>
        </w:trPr>
        <w:tc>
          <w:tcPr>
            <w:tcW w:type="dxa" w:w="4989"/>
            <w:vAlign w:val="top"/>
          </w:tcPr>
          <w:p>
            <w:pPr>
              <w:keepNext w:val="0"/>
              <w:widowControl/>
              <w:spacing w:after="560" w:before="0" w:line="264" w:lineRule="auto"/>
              <w:ind w:firstLine="0"/>
              <w:jc w:val="left"/>
            </w:pPr>
            <w:r>
              <w:rPr>
                <w:rFonts w:ascii="Times New Roman" w:hAnsi="Times New Roman" w:eastAsia="Times New Roman"/>
                <w:b/>
                <w:i/>
                <w:color w:val="000000"/>
                <w:sz w:val="24"/>
              </w:rPr>
              <w:t>Nơi nhận:</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 Như trên;</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 Lưu.</w:t>
            </w:r>
          </w:p>
        </w:tc>
        <w:tc>
          <w:tcPr>
            <w:tcW w:type="dxa" w:w="4082"/>
            <w:vAlign w:val="top"/>
          </w:tcPr>
          <w:p>
            <w:pPr>
              <w:keepNext w:val="0"/>
              <w:widowControl/>
              <w:spacing w:after="560" w:before="0" w:line="264" w:lineRule="auto"/>
              <w:ind w:firstLine="0"/>
              <w:jc w:val="center"/>
            </w:pPr>
            <w:r>
              <w:rPr>
                <w:rFonts w:ascii="Times New Roman" w:hAnsi="Times New Roman" w:eastAsia="Times New Roman"/>
                <w:b/>
                <w:i w:val="0"/>
                <w:color w:val="000000"/>
                <w:sz w:val="26"/>
              </w:rPr>
              <w:t>CƠ QUAN CHUYÊN MÔN VỀ XÂY DỰNG</w:t>
            </w:r>
            <w:r>
              <w:rPr>
                <w:rFonts w:ascii="Times New Roman" w:hAnsi="Times New Roman" w:eastAsia="Times New Roman"/>
                <w:b/>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i w:val="0"/>
                <w:color w:val="000000"/>
                <w:sz w:val="26"/>
              </w:rPr>
            </w:r>
            <w:r>
              <w:rPr>
                <w:rFonts w:ascii="Times New Roman" w:hAnsi="Times New Roman" w:eastAsia="Times New Roman"/>
                <w:b w:val="0"/>
                <w:i/>
                <w:color w:val="000000"/>
                <w:sz w:val="24"/>
              </w:rPr>
              <w:t>(Ký, ghi rõ họ tên, chức vụ và đóng dấu)</w:t>
            </w:r>
          </w:p>
        </w:tc>
      </w:tr>
    </w:tbl>
    <w:sectPr w:rsidR="00FC693F" w:rsidRPr="0006063C" w:rsidSect="00034616">
      <w:headerReference w:type="default" r:id="rId9"/>
      <w:headerReference w:type="first" r:id="rId10"/>
      <w:pgSz w:w="11906" w:h="16838"/>
      <w:pgMar w:top="1417" w:right="1134" w:bottom="1417" w:left="1701" w:header="567"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fldSimple w:instr="PAGE"/>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000000"/>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06 – Thẩm định dự toán - tiểu dự án, hạng mục vốn công thuộc PPP</dc:title>
  <dc:subject>Phụ lục VIII – 36/2026/TT-BXD</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