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3628"/>
        <w:gridCol w:w="5443"/>
      </w:tblGrid>
      <w:tr>
        <w:trPr>
          <w:cantSplit/>
        </w:trPr>
        <w:tc>
          <w:tcPr>
            <w:tcW w:type="dxa" w:w="3628"/>
            <w:vAlign w:val="top"/>
          </w:tcPr>
          <w:p>
            <w:pPr>
              <w:keepNext w:val="0"/>
              <w:widowControl/>
              <w:spacing w:after="120" w:before="0" w:line="264" w:lineRule="auto"/>
              <w:ind w:firstLine="0"/>
              <w:jc w:val="center"/>
            </w:pPr>
            <w:bookmarkStart w:id="1" w:name="buildsia_agency"/>
            <w:r>
              <w:rPr>
                <w:rFonts w:ascii="Times New Roman" w:hAnsi="Times New Roman" w:eastAsia="Times New Roman"/>
                <w:b/>
                <w:i w:val="0"/>
                <w:color w:val="000000"/>
                <w:sz w:val="26"/>
              </w:rPr>
              <w:t>CƠ QUAN/ĐƠN VỊ</w:t>
            </w:r>
            <w:bookmarkEnd w:id="1"/>
            <w:r>
              <w:rPr>
                <w:rFonts w:ascii="Times New Roman" w:hAnsi="Times New Roman" w:eastAsia="Times New Roman"/>
                <w:b/>
                <w:i w:val="0"/>
                <w:color w:val="000000"/>
                <w:sz w:val="26"/>
                <w:vertAlign w:val="superscript"/>
              </w:rPr>
              <w:t>3</w:t>
            </w:r>
            <w:r>
              <w:rPr>
                <w:rFonts w:ascii="Times New Roman" w:hAnsi="Times New Roman" w:eastAsia="Times New Roman"/>
                <w:b/>
                <w:i w:val="0"/>
                <w:color w:val="000000"/>
                <w:sz w:val="26"/>
              </w:rPr>
              <w:t>THẨM ĐỊNH</w:t>
            </w:r>
            <w:r>
              <w:rPr>
                <w:rFonts w:ascii="Times New Roman" w:hAnsi="Times New Roman" w:eastAsia="Times New Roman"/>
                <w:b/>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i w:val="0"/>
                <w:color w:val="000000"/>
                <w:sz w:val="26"/>
              </w:rPr>
            </w:r>
            <w:r>
              <w:rPr>
                <w:rFonts w:ascii="Times New Roman" w:hAnsi="Times New Roman" w:eastAsia="Times New Roman"/>
                <w:b/>
                <w:i w:val="0"/>
                <w:color w:val="000000"/>
                <w:sz w:val="26"/>
              </w:rPr>
              <w:t>-------</w:t>
            </w:r>
          </w:p>
          <w:p>
            <w:pPr>
              <w:keepNext w:val="0"/>
              <w:widowControl/>
              <w:spacing w:after="120" w:before="0" w:line="264" w:lineRule="auto"/>
              <w:ind w:firstLine="0"/>
              <w:jc w:val="center"/>
            </w:pPr>
            <w:bookmarkStart w:id="2" w:name="buildsia_number"/>
            <w:r>
              <w:rPr>
                <w:rFonts w:ascii="Times New Roman" w:hAnsi="Times New Roman" w:eastAsia="Times New Roman"/>
                <w:b w:val="0"/>
                <w:i w:val="0"/>
                <w:color w:val="000000"/>
                <w:sz w:val="26"/>
              </w:rPr>
              <w:t>(Số hiệu văn bản)</w:t>
            </w:r>
            <w:bookmarkEnd w:id="2"/>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t>V/v thông báo kết quả thẩm định dự toán xây dựng công trình ………</w:t>
            </w:r>
          </w:p>
        </w:tc>
        <w:tc>
          <w:tcPr>
            <w:tcW w:type="dxa" w:w="5443"/>
            <w:vAlign w:val="top"/>
          </w:tcPr>
          <w:p>
            <w:pPr>
              <w:keepNext w:val="0"/>
              <w:widowControl/>
              <w:spacing w:after="120" w:before="0" w:line="264" w:lineRule="auto"/>
              <w:ind w:firstLine="0"/>
              <w:jc w:val="center"/>
            </w:pPr>
            <w:r>
              <w:rPr>
                <w:rFonts w:ascii="Times New Roman" w:hAnsi="Times New Roman" w:eastAsia="Times New Roman"/>
                <w:b/>
                <w:i w:val="0"/>
                <w:color w:val="000000"/>
                <w:sz w:val="24"/>
              </w:rPr>
              <w:t>CỘNG HÒA XÃ HỘI CHỦ NGHĨA VIỆT NAM</w:t>
            </w:r>
          </w:p>
          <w:p>
            <w:pPr>
              <w:keepNext w:val="0"/>
              <w:widowControl/>
              <w:spacing w:after="120" w:before="0" w:line="264" w:lineRule="auto"/>
              <w:ind w:firstLine="0"/>
              <w:jc w:val="center"/>
            </w:pPr>
            <w:r>
              <w:rPr>
                <w:rFonts w:ascii="Times New Roman" w:hAnsi="Times New Roman" w:eastAsia="Times New Roman"/>
                <w:b/>
                <w:i w:val="0"/>
                <w:color w:val="000000"/>
                <w:sz w:val="26"/>
              </w:rPr>
              <w:t>Độc lập - Tự do - Hạnh phúc</w:t>
            </w:r>
            <w:r>
              <w:rPr>
                <w:rFonts w:ascii="Times New Roman" w:hAnsi="Times New Roman" w:eastAsia="Times New Roman"/>
                <w:b/>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i w:val="0"/>
                <w:color w:val="000000"/>
                <w:sz w:val="26"/>
              </w:rPr>
            </w:r>
            <w:r>
              <w:rPr>
                <w:rFonts w:ascii="Times New Roman" w:hAnsi="Times New Roman" w:eastAsia="Times New Roman"/>
                <w:b/>
                <w:i w:val="0"/>
                <w:color w:val="000000"/>
                <w:sz w:val="26"/>
              </w:rPr>
              <w:t>--------------------------------</w:t>
            </w:r>
          </w:p>
          <w:p>
            <w:pPr>
              <w:keepNext w:val="0"/>
              <w:widowControl/>
              <w:spacing w:after="120" w:before="0" w:line="264" w:lineRule="auto"/>
              <w:ind w:firstLine="0"/>
              <w:jc w:val="center"/>
            </w:pPr>
            <w:bookmarkStart w:id="3" w:name="buildsia_date"/>
            <w:r>
              <w:rPr>
                <w:rFonts w:ascii="Times New Roman" w:hAnsi="Times New Roman" w:eastAsia="Times New Roman"/>
                <w:b w:val="0"/>
                <w:i/>
                <w:color w:val="000000"/>
                <w:sz w:val="26"/>
              </w:rPr>
              <w:t>…………, ngày … tháng … năm …..</w:t>
            </w:r>
            <w:bookmarkEnd w:id="3"/>
          </w:p>
        </w:tc>
      </w:tr>
    </w:tbl>
    <w:p>
      <w:pPr>
        <w:keepNext w:val="0"/>
        <w:widowControl/>
        <w:spacing w:after="120" w:before="0" w:line="312" w:lineRule="auto"/>
        <w:ind w:firstLine="0"/>
        <w:jc w:val="center"/>
      </w:pPr>
      <w:bookmarkStart w:id="4" w:name="buildsia_recipient"/>
      <w:r>
        <w:rPr>
          <w:rFonts w:ascii="Times New Roman" w:hAnsi="Times New Roman" w:eastAsia="Times New Roman"/>
          <w:b w:val="0"/>
          <w:i w:val="0"/>
          <w:color w:val="000000"/>
          <w:sz w:val="26"/>
        </w:rPr>
        <w:t xml:space="preserve">Kính gửi: </w:t>
      </w:r>
      <w:r>
        <w:rPr>
          <w:rFonts w:ascii="Times New Roman" w:hAnsi="Times New Roman" w:eastAsia="Times New Roman"/>
          <w:b w:val="0"/>
          <w:i/>
          <w:color w:val="000000"/>
          <w:sz w:val="26"/>
        </w:rPr>
        <w:t>(Tên chủ đầu tư)</w:t>
      </w:r>
      <w:r>
        <w:rPr>
          <w:rFonts w:ascii="Times New Roman" w:hAnsi="Times New Roman" w:eastAsia="Times New Roman"/>
          <w:b w:val="0"/>
          <w:i w:val="0"/>
          <w:color w:val="000000"/>
          <w:sz w:val="26"/>
        </w:rPr>
        <w:t>.</w:t>
      </w:r>
      <w:bookmarkEnd w:id="4"/>
    </w:p>
    <w:p>
      <w:pPr>
        <w:keepNext w:val="0"/>
        <w:widowControl/>
        <w:spacing w:after="120" w:before="0" w:line="312" w:lineRule="auto"/>
        <w:ind w:firstLine="720"/>
        <w:jc w:val="both"/>
      </w:pPr>
      <w:r>
        <w:rPr>
          <w:rFonts w:ascii="Times New Roman" w:hAnsi="Times New Roman" w:eastAsia="Times New Roman"/>
          <w:b w:val="0"/>
          <w:i/>
          <w:color w:val="000000"/>
          <w:sz w:val="26"/>
        </w:rPr>
        <w:t>(Cơ quan/Đơn vị được giao thẩm định)</w:t>
      </w:r>
      <w:r>
        <w:rPr>
          <w:rFonts w:ascii="Times New Roman" w:hAnsi="Times New Roman" w:eastAsia="Times New Roman"/>
          <w:b w:val="0"/>
          <w:i w:val="0"/>
          <w:color w:val="000000"/>
          <w:sz w:val="26"/>
        </w:rPr>
        <w:t xml:space="preserve"> đã nhận Văn bản số … ngày … tháng … năm … của </w:t>
      </w:r>
      <w:r>
        <w:rPr>
          <w:rFonts w:ascii="Times New Roman" w:hAnsi="Times New Roman" w:eastAsia="Times New Roman"/>
          <w:b w:val="0"/>
          <w:i/>
          <w:color w:val="000000"/>
          <w:sz w:val="26"/>
        </w:rPr>
        <w:t>…</w:t>
      </w:r>
      <w:r>
        <w:rPr>
          <w:rFonts w:ascii="Times New Roman" w:hAnsi="Times New Roman" w:eastAsia="Times New Roman"/>
          <w:b w:val="0"/>
          <w:i w:val="0"/>
          <w:color w:val="000000"/>
          <w:sz w:val="26"/>
        </w:rPr>
        <w:t xml:space="preserve"> đề nghị thẩm định dự toán xây dựng công trình </w:t>
      </w:r>
      <w:r>
        <w:rPr>
          <w:rFonts w:ascii="Times New Roman" w:hAnsi="Times New Roman" w:eastAsia="Times New Roman"/>
          <w:b w:val="0"/>
          <w:i/>
          <w:color w:val="000000"/>
          <w:sz w:val="26"/>
        </w:rPr>
        <w:t>(tên công trình của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Căn cứ Luật Xây dựng năm 2025;</w:t>
      </w:r>
    </w:p>
    <w:p>
      <w:pPr>
        <w:keepNext w:val="0"/>
        <w:widowControl/>
        <w:spacing w:after="120" w:before="0" w:line="312" w:lineRule="auto"/>
        <w:ind w:firstLine="720"/>
        <w:jc w:val="both"/>
      </w:pPr>
      <w:r>
        <w:rPr>
          <w:rFonts w:ascii="Times New Roman" w:hAnsi="Times New Roman" w:eastAsia="Times New Roman"/>
          <w:b w:val="0"/>
          <w:i w:val="0"/>
          <w:color w:val="000000"/>
          <w:sz w:val="26"/>
        </w:rPr>
        <w:t>Căn cứ Nghị định số 206/2026/NĐ-CP ngày 15 tháng 06 năm 2026 của Chính phủ quy định chi tiết về quản lý chi phí đầu tư xây dựng;</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Căn cứ Văn bản số …. của </w:t>
      </w:r>
      <w:r>
        <w:rPr>
          <w:rFonts w:ascii="Times New Roman" w:hAnsi="Times New Roman" w:eastAsia="Times New Roman"/>
          <w:b w:val="0"/>
          <w:i/>
          <w:color w:val="000000"/>
          <w:sz w:val="26"/>
        </w:rPr>
        <w:t>(cơ quan chuyên môn về xây dựng)</w:t>
      </w:r>
      <w:r>
        <w:rPr>
          <w:rFonts w:ascii="Times New Roman" w:hAnsi="Times New Roman" w:eastAsia="Times New Roman"/>
          <w:b w:val="0"/>
          <w:i w:val="0"/>
          <w:color w:val="000000"/>
          <w:sz w:val="26"/>
        </w:rPr>
        <w:t xml:space="preserve"> về việc thông báo kết quả thẩm định dự toán xây dựng công trình </w:t>
      </w:r>
      <w:r>
        <w:rPr>
          <w:rFonts w:ascii="Times New Roman" w:hAnsi="Times New Roman" w:eastAsia="Times New Roman"/>
          <w:b w:val="0"/>
          <w:i/>
          <w:color w:val="000000"/>
          <w:sz w:val="26"/>
        </w:rPr>
        <w:t>(tên công trình của dự án)</w:t>
      </w:r>
      <w:r>
        <w:rPr>
          <w:rFonts w:ascii="Times New Roman" w:hAnsi="Times New Roman" w:eastAsia="Times New Roman"/>
          <w:b w:val="0"/>
          <w:i w:val="0"/>
          <w:color w:val="000000"/>
          <w:sz w:val="26"/>
        </w:rPr>
        <w:t xml:space="preserve">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Các căn cứ pháp lý khác có liên quan.</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Sau khi xem xét, </w:t>
      </w:r>
      <w:r>
        <w:rPr>
          <w:rFonts w:ascii="Times New Roman" w:hAnsi="Times New Roman" w:eastAsia="Times New Roman"/>
          <w:b w:val="0"/>
          <w:i/>
          <w:color w:val="000000"/>
          <w:sz w:val="26"/>
        </w:rPr>
        <w:t>(cơ quan/đơn vị được giao thẩm định)</w:t>
      </w:r>
      <w:r>
        <w:rPr>
          <w:rFonts w:ascii="Times New Roman" w:hAnsi="Times New Roman" w:eastAsia="Times New Roman"/>
          <w:b w:val="0"/>
          <w:i w:val="0"/>
          <w:color w:val="000000"/>
          <w:sz w:val="26"/>
        </w:rPr>
        <w:t xml:space="preserve"> thông báo kết quả thẩm định dự toán xây dựng công trình </w:t>
      </w:r>
      <w:r>
        <w:rPr>
          <w:rFonts w:ascii="Times New Roman" w:hAnsi="Times New Roman" w:eastAsia="Times New Roman"/>
          <w:b w:val="0"/>
          <w:i/>
          <w:color w:val="000000"/>
          <w:sz w:val="26"/>
        </w:rPr>
        <w:t>(tên công trình của dự án)</w:t>
      </w:r>
      <w:r>
        <w:rPr>
          <w:rFonts w:ascii="Times New Roman" w:hAnsi="Times New Roman" w:eastAsia="Times New Roman"/>
          <w:b w:val="0"/>
          <w:i w:val="0"/>
          <w:color w:val="000000"/>
          <w:sz w:val="26"/>
        </w:rPr>
        <w:t xml:space="preserve"> như sau:</w:t>
      </w:r>
    </w:p>
    <w:p>
      <w:pPr>
        <w:keepNext/>
        <w:widowControl/>
        <w:spacing w:after="120" w:before="80" w:line="312" w:lineRule="auto"/>
        <w:ind w:firstLine="0"/>
        <w:jc w:val="both"/>
      </w:pPr>
      <w:r>
        <w:rPr>
          <w:rFonts w:ascii="Times New Roman" w:hAnsi="Times New Roman" w:eastAsia="Times New Roman"/>
          <w:b/>
          <w:i w:val="0"/>
          <w:color w:val="000000"/>
          <w:sz w:val="26"/>
        </w:rPr>
        <w:t>1. Thông tin về công trình</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Tên công trình:</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Mã định danh:</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Loại và cấp công trình:</w:t>
      </w:r>
    </w:p>
    <w:p>
      <w:pPr>
        <w:keepNext w:val="0"/>
        <w:widowControl/>
        <w:spacing w:after="120" w:before="0" w:line="312" w:lineRule="auto"/>
        <w:ind w:firstLine="720"/>
        <w:jc w:val="both"/>
      </w:pPr>
      <w:bookmarkStart w:id="5" w:name="buildsia_project"/>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Tên dự án đầu tư xây dựng:</w:t>
      </w:r>
      <w:bookmarkEnd w:id="5"/>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Địa điểm xây dựng công trình: (</w:t>
      </w:r>
      <w:r>
        <w:rPr>
          <w:rFonts w:ascii="Times New Roman" w:hAnsi="Times New Roman" w:eastAsia="Times New Roman"/>
          <w:b w:val="0"/>
          <w:i/>
          <w:color w:val="000000"/>
          <w:sz w:val="26"/>
        </w:rPr>
        <w:t>ghi địa danh cấp xã, tỉnh</w:t>
      </w:r>
      <w:r>
        <w:rPr>
          <w:rFonts w:ascii="Times New Roman" w:hAnsi="Times New Roman" w:eastAsia="Times New Roman"/>
          <w:b w:val="0"/>
          <w:i w:val="0"/>
          <w:color w:val="000000"/>
          <w:sz w:val="26"/>
        </w:rPr>
        <w:t>)</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Chủ đầu tư:</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Giá trị dự toán xây dựng công trình trình thẩm định:</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Nguồn vốn đầu tư: (xác định và ghi rõ: vốn đầu tư công/vốn chi thường xuyên từ ngân sách nhà nước/vốn ngân sách nhà nước khác/vốn khác/thực hiện theo phương thức PPP).</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Nhà thầu tư vấn lập dự toán xây dựng công trình: (</w:t>
      </w:r>
      <w:r>
        <w:rPr>
          <w:rFonts w:ascii="Times New Roman" w:hAnsi="Times New Roman" w:eastAsia="Times New Roman"/>
          <w:b w:val="0"/>
          <w:i/>
          <w:color w:val="000000"/>
          <w:sz w:val="26"/>
        </w:rPr>
        <w:t>tên nhà thầu, mã số doanh nghiệp</w:t>
      </w:r>
      <w:r>
        <w:rPr>
          <w:rFonts w:ascii="Times New Roman" w:hAnsi="Times New Roman" w:eastAsia="Times New Roman"/>
          <w:b w:val="0"/>
          <w:i w:val="0"/>
          <w:color w:val="000000"/>
          <w:sz w:val="26"/>
        </w:rPr>
        <w:t>)</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Nhà thầu thẩm tra dự toán xây dựng công trình (nếu có): (</w:t>
      </w:r>
      <w:r>
        <w:rPr>
          <w:rFonts w:ascii="Times New Roman" w:hAnsi="Times New Roman" w:eastAsia="Times New Roman"/>
          <w:b w:val="0"/>
          <w:i/>
          <w:color w:val="000000"/>
          <w:sz w:val="26"/>
        </w:rPr>
        <w:t>tên nhà thầu, mã số doanh nghiệp</w:t>
      </w:r>
      <w:r>
        <w:rPr>
          <w:rFonts w:ascii="Times New Roman" w:hAnsi="Times New Roman" w:eastAsia="Times New Roman"/>
          <w:b w:val="0"/>
          <w:i w:val="0"/>
          <w:color w:val="000000"/>
          <w:sz w:val="26"/>
        </w:rPr>
        <w:t>)</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Các thông tin khác (nếu có).</w:t>
      </w:r>
    </w:p>
    <w:p>
      <w:pPr>
        <w:keepNext/>
        <w:widowControl/>
        <w:spacing w:after="120" w:before="80" w:line="312" w:lineRule="auto"/>
        <w:ind w:firstLine="0"/>
        <w:jc w:val="both"/>
      </w:pPr>
      <w:r>
        <w:rPr>
          <w:rFonts w:ascii="Times New Roman" w:hAnsi="Times New Roman" w:eastAsia="Times New Roman"/>
          <w:b/>
          <w:i w:val="0"/>
          <w:color w:val="000000"/>
          <w:sz w:val="26"/>
        </w:rPr>
        <w:t>2. Hồ sơ trình thẩm định</w:t>
      </w:r>
    </w:p>
    <w:p>
      <w:pPr>
        <w:keepNext w:val="0"/>
        <w:widowControl/>
        <w:spacing w:after="120" w:before="0" w:line="312" w:lineRule="auto"/>
        <w:ind w:firstLine="720"/>
        <w:jc w:val="both"/>
      </w:pPr>
      <w:r>
        <w:rPr>
          <w:rFonts w:ascii="Times New Roman" w:hAnsi="Times New Roman" w:eastAsia="Times New Roman"/>
          <w:b w:val="0"/>
          <w:i w:val="0"/>
          <w:color w:val="000000"/>
          <w:sz w:val="26"/>
        </w:rPr>
        <w:t>2.1. Văn bản pháp lý</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Tờ trình thẩm định;</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Văn bản phê duyệt dự án, tổng mức đầu tư xây dựng;</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Các văn bản cơ sở pháp lý liên quan đến dự án, xác định dự toán xây dựng công trình: Luật, Nghị định, Thông tư; các văn bản, tài liệu khác có liên quan đến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2.2. Hồ sơ, tài liệu của công trình:</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Hồ sơ dự án đã phê duyệt (Quyết định phê duyệt dự án, Báo cáo nghiên cứu khả thi của Dự án, các tài liệu pháp lý của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Hồ sơ thiết kế xây dựng sau khi dự án được phê duyệt của công trình;</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Kết quả thẩm định thiết kế xây dựng và quyết định phê duyệt thiết kế xây dựng triển khai sau khi dự án được phê duyệt của công trình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Hồ sơ xác định dự toán xây dựng công trình (gồm thuyết minh xác định dự toán xây dựng công trình, chi tiết tính toán dự toán xây dựng công trình và các tài liệu có liên quan (nếu có)); được hoàn thiện theo ý kiến thẩm tra (nếu có), kèm theo nội dung kiểm tra, rà soát, thẩm định hồ sơ dự toán xây dựng doanh nghiệp dự án PPP trước khi trình thẩm định</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Báo cáo kết quả thẩm tra dự toán xây dựng công trình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Các hồ sơ, tài liệu khác liên quan đến dự án, công trình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Các hồ sơ, tài liệu khác sử dụng trong quá trình thẩm định.</w:t>
      </w:r>
    </w:p>
    <w:p>
      <w:pPr>
        <w:keepNext/>
        <w:widowControl/>
        <w:spacing w:after="120" w:before="80" w:line="312" w:lineRule="auto"/>
        <w:ind w:firstLine="0"/>
        <w:jc w:val="both"/>
      </w:pPr>
      <w:r>
        <w:rPr>
          <w:rFonts w:ascii="Times New Roman" w:hAnsi="Times New Roman" w:eastAsia="Times New Roman"/>
          <w:b/>
          <w:i w:val="0"/>
          <w:color w:val="000000"/>
          <w:sz w:val="26"/>
        </w:rPr>
        <w:t>3. Nội dung hồ sơ dự toán xây dựng</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Tóm tắt nội dung thông tin cơ bản dự án, công trình; phạm vi, nội dung dự toán xây dựng;</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Giá trị dự toán xây dựng: bao gồm các khoản mục chi phí theo công trình, hạng mục công trình thuộc dự án; các dự án thành phần, phân kỳ đầu tư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Kết luận về việc đủ điều kiện/chưa đủ điều kiện để thực hiện thẩm định.</w:t>
      </w:r>
    </w:p>
    <w:p>
      <w:pPr>
        <w:keepNext/>
        <w:widowControl/>
        <w:spacing w:after="120" w:before="80" w:line="312" w:lineRule="auto"/>
        <w:ind w:firstLine="0"/>
        <w:jc w:val="both"/>
      </w:pPr>
      <w:r>
        <w:rPr>
          <w:rFonts w:ascii="Times New Roman" w:hAnsi="Times New Roman" w:eastAsia="Times New Roman"/>
          <w:b/>
          <w:i w:val="0"/>
          <w:color w:val="000000"/>
          <w:sz w:val="26"/>
        </w:rPr>
        <w:t>4. Nội dung thẩm định dự toán xây dựng công trình</w:t>
      </w:r>
    </w:p>
    <w:p>
      <w:pPr>
        <w:keepNext w:val="0"/>
        <w:widowControl/>
        <w:spacing w:after="120" w:before="0" w:line="312" w:lineRule="auto"/>
        <w:ind w:firstLine="720"/>
        <w:jc w:val="both"/>
      </w:pPr>
      <w:r>
        <w:rPr>
          <w:rFonts w:ascii="Times New Roman" w:hAnsi="Times New Roman" w:eastAsia="Times New Roman"/>
          <w:b w:val="0"/>
          <w:i w:val="0"/>
          <w:color w:val="000000"/>
          <w:sz w:val="26"/>
        </w:rPr>
        <w:t>4.1. Sự đầy đủ của hồ sơ dự toán xây dựng công trình thẩm định; kiểm tra kết quả thẩm tra dự toán xây dựng công trình của tổ chức tư vấn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4.1.1. Sự đầy đủ của hồ sơ dự toán xây dựng công trình thẩm định;</w:t>
      </w:r>
    </w:p>
    <w:p>
      <w:pPr>
        <w:keepNext w:val="0"/>
        <w:widowControl/>
        <w:spacing w:after="120" w:before="0" w:line="312" w:lineRule="auto"/>
        <w:ind w:firstLine="720"/>
        <w:jc w:val="both"/>
      </w:pPr>
      <w:r>
        <w:rPr>
          <w:rFonts w:ascii="Times New Roman" w:hAnsi="Times New Roman" w:eastAsia="Times New Roman"/>
          <w:b w:val="0"/>
          <w:i w:val="0"/>
          <w:color w:val="000000"/>
          <w:sz w:val="26"/>
        </w:rPr>
        <w:t>4.1.2. Kiểm tra kết quả thẩm tra dự toán xây dựng công trình của tổ chức tư vấn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4.2. Sự phù hợp của việc xác định khối lượng chủ yếu của công tác xây dựng, chủng loại và số lượng thiết bị tính toán trong dự toán xây dựng công trình so với khối lượng thiết kế</w:t>
      </w:r>
    </w:p>
    <w:p>
      <w:pPr>
        <w:keepNext w:val="0"/>
        <w:widowControl/>
        <w:spacing w:after="120" w:before="0" w:line="312" w:lineRule="auto"/>
        <w:ind w:firstLine="720"/>
        <w:jc w:val="both"/>
      </w:pPr>
      <w:r>
        <w:rPr>
          <w:rFonts w:ascii="Times New Roman" w:hAnsi="Times New Roman" w:eastAsia="Times New Roman"/>
          <w:b w:val="0"/>
          <w:i w:val="0"/>
          <w:color w:val="000000"/>
          <w:sz w:val="26"/>
        </w:rPr>
        <w:t>4.3. Xác định giá trị dự toán xây dựng công trình theo quy định phù hợp với giá trị tổng mức đầu tư xây dựng, thiết kế xây dựng, tiêu chuẩn, quy chuẩn, chỉ dẫn kỹ thuật, biện pháp thi công xây dựng định hướng, công nghệ được sử dụng cho dự án, tiến độ thi công công trình và mặt bằng giá thị trường</w:t>
      </w:r>
    </w:p>
    <w:p>
      <w:pPr>
        <w:keepNext w:val="0"/>
        <w:widowControl/>
        <w:spacing w:after="120" w:before="0" w:line="312" w:lineRule="auto"/>
        <w:ind w:firstLine="720"/>
        <w:jc w:val="both"/>
      </w:pPr>
      <w:r>
        <w:rPr>
          <w:rFonts w:ascii="Times New Roman" w:hAnsi="Times New Roman" w:eastAsia="Times New Roman"/>
          <w:b w:val="0"/>
          <w:i w:val="0"/>
          <w:color w:val="000000"/>
          <w:sz w:val="26"/>
        </w:rPr>
        <w:t>4.3.1. Sự phù hợp phương pháp tính toán các khoản mục chi phí đầu tư xây dựng; tính chính xác, căn cứ của các báo giá, dữ liệu chi phí, định mức xây dựng được sử dụng để xác định giá xây dựng, chi phí đầu tư xây dựng;</w:t>
      </w:r>
    </w:p>
    <w:p>
      <w:pPr>
        <w:keepNext w:val="0"/>
        <w:widowControl/>
        <w:spacing w:after="120" w:before="0" w:line="312" w:lineRule="auto"/>
        <w:ind w:firstLine="720"/>
        <w:jc w:val="both"/>
      </w:pPr>
      <w:r>
        <w:rPr>
          <w:rFonts w:ascii="Times New Roman" w:hAnsi="Times New Roman" w:eastAsia="Times New Roman"/>
          <w:b w:val="0"/>
          <w:i w:val="0"/>
          <w:color w:val="000000"/>
          <w:sz w:val="26"/>
        </w:rPr>
        <w:t>4.3.2. Xác định giá trị dự toán xây dựng công trình</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Dựa vào các căn cứ và nội dung thẩm định nêu trên, giá trị dự toán xây dựng công trình </w:t>
      </w:r>
      <w:r>
        <w:rPr>
          <w:rFonts w:ascii="Times New Roman" w:hAnsi="Times New Roman" w:eastAsia="Times New Roman"/>
          <w:b w:val="0"/>
          <w:i/>
          <w:color w:val="000000"/>
          <w:sz w:val="26"/>
        </w:rPr>
        <w:t>(tên công trình)</w:t>
      </w:r>
      <w:r>
        <w:rPr>
          <w:rFonts w:ascii="Times New Roman" w:hAnsi="Times New Roman" w:eastAsia="Times New Roman"/>
          <w:b w:val="0"/>
          <w:i w:val="0"/>
          <w:color w:val="000000"/>
          <w:sz w:val="26"/>
        </w:rPr>
        <w:t xml:space="preserve"> sau thẩm định như sau:</w:t>
      </w:r>
    </w:p>
    <w:p>
      <w:pPr>
        <w:keepNext w:val="0"/>
        <w:widowControl/>
        <w:spacing w:after="120" w:before="0" w:line="312" w:lineRule="auto"/>
        <w:ind w:firstLine="0"/>
        <w:jc w:val="right"/>
      </w:pPr>
      <w:r>
        <w:rPr>
          <w:rFonts w:ascii="Times New Roman" w:hAnsi="Times New Roman" w:eastAsia="Times New Roman"/>
          <w:b w:val="0"/>
          <w:i/>
          <w:color w:val="000000"/>
          <w:sz w:val="26"/>
        </w:rPr>
        <w:t>Đơn vị tính: ...</w:t>
      </w:r>
    </w:p>
    <w:tbl>
      <w:tblPr>
        <w:tblStyle w:val="TableGrid"/>
        <w:tblW w:type="auto" w:w="0"/>
        <w:tblLayout w:type="fixed"/>
        <w:tblLook w:firstColumn="1" w:firstRow="1" w:lastColumn="0" w:lastRow="0" w:noHBand="0" w:noVBand="1" w:val="04A0"/>
      </w:tblPr>
      <w:tblGrid>
        <w:gridCol w:w="794"/>
        <w:gridCol w:w="2948"/>
        <w:gridCol w:w="1332"/>
        <w:gridCol w:w="1332"/>
        <w:gridCol w:w="1332"/>
        <w:gridCol w:w="1332"/>
      </w:tblGrid>
      <w:tr>
        <w:trPr>
          <w:cantSplit/>
          <w:tblHeader/>
          <w:tblHeader/>
          <w:tblHeader/>
          <w:tblHeader/>
          <w:tblHeader/>
          <w:tblHeader/>
        </w:trPr>
        <w:tc>
          <w:tcPr>
            <w:tcW w:type="dxa" w:w="794"/>
            <w:vAlign w:val="center"/>
          </w:tcPr>
          <w:p>
            <w:pPr>
              <w:keepNext w:val="0"/>
              <w:widowControl/>
              <w:spacing w:after="120" w:before="0" w:line="264" w:lineRule="auto"/>
              <w:ind w:firstLine="0"/>
              <w:jc w:val="center"/>
            </w:pPr>
            <w:r>
              <w:rPr>
                <w:rFonts w:ascii="Times New Roman" w:hAnsi="Times New Roman" w:eastAsia="Times New Roman"/>
                <w:b/>
                <w:i w:val="0"/>
                <w:color w:val="000000"/>
                <w:sz w:val="26"/>
              </w:rPr>
              <w:t>STT</w:t>
            </w:r>
          </w:p>
        </w:tc>
        <w:tc>
          <w:tcPr>
            <w:tcW w:type="dxa" w:w="2948"/>
            <w:vAlign w:val="center"/>
          </w:tcPr>
          <w:p>
            <w:pPr>
              <w:keepNext w:val="0"/>
              <w:widowControl/>
              <w:spacing w:after="120" w:before="0" w:line="264" w:lineRule="auto"/>
              <w:ind w:firstLine="0"/>
              <w:jc w:val="center"/>
            </w:pPr>
            <w:r>
              <w:rPr>
                <w:rFonts w:ascii="Times New Roman" w:hAnsi="Times New Roman" w:eastAsia="Times New Roman"/>
                <w:b/>
                <w:i w:val="0"/>
                <w:color w:val="000000"/>
                <w:sz w:val="26"/>
              </w:rPr>
              <w:t>Nội dung chi phí</w:t>
            </w:r>
          </w:p>
        </w:tc>
        <w:tc>
          <w:tcPr>
            <w:tcW w:type="dxa" w:w="1332"/>
            <w:vAlign w:val="center"/>
          </w:tcPr>
          <w:p>
            <w:pPr>
              <w:keepNext w:val="0"/>
              <w:widowControl/>
              <w:spacing w:after="120" w:before="0" w:line="264" w:lineRule="auto"/>
              <w:ind w:firstLine="0"/>
              <w:jc w:val="center"/>
            </w:pPr>
            <w:r>
              <w:rPr>
                <w:rFonts w:ascii="Times New Roman" w:hAnsi="Times New Roman" w:eastAsia="Times New Roman"/>
                <w:b/>
                <w:i w:val="0"/>
                <w:color w:val="000000"/>
                <w:sz w:val="26"/>
              </w:rPr>
              <w:t>Giá trị trong TMĐT được duyệt</w:t>
            </w:r>
          </w:p>
        </w:tc>
        <w:tc>
          <w:tcPr>
            <w:tcW w:type="dxa" w:w="1332"/>
            <w:vAlign w:val="center"/>
          </w:tcPr>
          <w:p>
            <w:pPr>
              <w:keepNext w:val="0"/>
              <w:widowControl/>
              <w:spacing w:after="120" w:before="0" w:line="264" w:lineRule="auto"/>
              <w:ind w:firstLine="0"/>
              <w:jc w:val="center"/>
            </w:pPr>
            <w:r>
              <w:rPr>
                <w:rFonts w:ascii="Times New Roman" w:hAnsi="Times New Roman" w:eastAsia="Times New Roman"/>
                <w:b/>
                <w:i w:val="0"/>
                <w:color w:val="000000"/>
                <w:sz w:val="26"/>
              </w:rPr>
              <w:t>Giá trị dự toán trình thẩm định/thẩm tra</w:t>
            </w:r>
          </w:p>
        </w:tc>
        <w:tc>
          <w:tcPr>
            <w:tcW w:type="dxa" w:w="1332"/>
            <w:vAlign w:val="center"/>
          </w:tcPr>
          <w:p>
            <w:pPr>
              <w:keepNext w:val="0"/>
              <w:widowControl/>
              <w:spacing w:after="120" w:before="0" w:line="264" w:lineRule="auto"/>
              <w:ind w:firstLine="0"/>
              <w:jc w:val="center"/>
            </w:pPr>
            <w:r>
              <w:rPr>
                <w:rFonts w:ascii="Times New Roman" w:hAnsi="Times New Roman" w:eastAsia="Times New Roman"/>
                <w:b/>
                <w:i w:val="0"/>
                <w:color w:val="000000"/>
                <w:sz w:val="26"/>
              </w:rPr>
              <w:t>Giá trị dự toán sau thẩm định</w:t>
            </w:r>
          </w:p>
        </w:tc>
        <w:tc>
          <w:tcPr>
            <w:tcW w:type="dxa" w:w="1332"/>
            <w:vAlign w:val="center"/>
          </w:tcPr>
          <w:p>
            <w:pPr>
              <w:keepNext w:val="0"/>
              <w:widowControl/>
              <w:spacing w:after="120" w:before="0" w:line="264" w:lineRule="auto"/>
              <w:ind w:firstLine="0"/>
              <w:jc w:val="center"/>
            </w:pPr>
            <w:r>
              <w:rPr>
                <w:rFonts w:ascii="Times New Roman" w:hAnsi="Times New Roman" w:eastAsia="Times New Roman"/>
                <w:b/>
                <w:i w:val="0"/>
                <w:color w:val="000000"/>
                <w:sz w:val="26"/>
              </w:rPr>
              <w:t>Đánh giá</w:t>
            </w:r>
          </w:p>
        </w:tc>
      </w:tr>
      <w:tr>
        <w:trPr>
          <w:cantSplit/>
        </w:trPr>
        <w:tc>
          <w:tcPr>
            <w:tcW w:type="dxa" w:w="794"/>
            <w:vAlign w:val="center"/>
          </w:tcPr>
          <w:p>
            <w:pPr>
              <w:keepNext w:val="0"/>
              <w:widowControl/>
              <w:spacing w:after="120" w:before="0" w:line="264" w:lineRule="auto"/>
              <w:ind w:firstLine="0"/>
              <w:jc w:val="center"/>
            </w:pPr>
            <w:r>
              <w:rPr>
                <w:rFonts w:ascii="Times New Roman" w:hAnsi="Times New Roman" w:eastAsia="Times New Roman"/>
                <w:b w:val="0"/>
                <w:i w:val="0"/>
                <w:color w:val="000000"/>
                <w:sz w:val="26"/>
              </w:rPr>
              <w:t>[1]</w:t>
            </w:r>
          </w:p>
        </w:tc>
        <w:tc>
          <w:tcPr>
            <w:tcW w:type="dxa" w:w="2948"/>
            <w:vAlign w:val="center"/>
          </w:tcPr>
          <w:p>
            <w:pPr>
              <w:keepNext w:val="0"/>
              <w:widowControl/>
              <w:spacing w:after="120" w:before="0" w:line="264" w:lineRule="auto"/>
              <w:ind w:firstLine="0"/>
              <w:jc w:val="center"/>
            </w:pPr>
            <w:r>
              <w:rPr>
                <w:rFonts w:ascii="Times New Roman" w:hAnsi="Times New Roman" w:eastAsia="Times New Roman"/>
                <w:b w:val="0"/>
                <w:i w:val="0"/>
                <w:color w:val="000000"/>
                <w:sz w:val="26"/>
              </w:rPr>
              <w:t>[2]</w:t>
            </w:r>
          </w:p>
        </w:tc>
        <w:tc>
          <w:tcPr>
            <w:tcW w:type="dxa" w:w="1332"/>
            <w:vAlign w:val="center"/>
          </w:tcPr>
          <w:p>
            <w:pPr>
              <w:keepNext w:val="0"/>
              <w:widowControl/>
              <w:spacing w:after="120" w:before="0" w:line="264" w:lineRule="auto"/>
              <w:ind w:firstLine="0"/>
              <w:jc w:val="center"/>
            </w:pPr>
            <w:r>
              <w:rPr>
                <w:rFonts w:ascii="Times New Roman" w:hAnsi="Times New Roman" w:eastAsia="Times New Roman"/>
                <w:b w:val="0"/>
                <w:i w:val="0"/>
                <w:color w:val="000000"/>
                <w:sz w:val="26"/>
              </w:rPr>
              <w:t>[3]</w:t>
            </w:r>
          </w:p>
        </w:tc>
        <w:tc>
          <w:tcPr>
            <w:tcW w:type="dxa" w:w="1332"/>
            <w:vAlign w:val="center"/>
          </w:tcPr>
          <w:p>
            <w:pPr>
              <w:keepNext w:val="0"/>
              <w:widowControl/>
              <w:spacing w:after="120" w:before="0" w:line="264" w:lineRule="auto"/>
              <w:ind w:firstLine="0"/>
              <w:jc w:val="center"/>
            </w:pPr>
            <w:r>
              <w:rPr>
                <w:rFonts w:ascii="Times New Roman" w:hAnsi="Times New Roman" w:eastAsia="Times New Roman"/>
                <w:b w:val="0"/>
                <w:i w:val="0"/>
                <w:color w:val="000000"/>
                <w:sz w:val="26"/>
              </w:rPr>
              <w:t>[4]</w:t>
            </w:r>
          </w:p>
        </w:tc>
        <w:tc>
          <w:tcPr>
            <w:tcW w:type="dxa" w:w="1332"/>
            <w:vAlign w:val="center"/>
          </w:tcPr>
          <w:p>
            <w:pPr>
              <w:keepNext w:val="0"/>
              <w:widowControl/>
              <w:spacing w:after="120" w:before="0" w:line="264" w:lineRule="auto"/>
              <w:ind w:firstLine="0"/>
              <w:jc w:val="center"/>
            </w:pPr>
            <w:r>
              <w:rPr>
                <w:rFonts w:ascii="Times New Roman" w:hAnsi="Times New Roman" w:eastAsia="Times New Roman"/>
                <w:b w:val="0"/>
                <w:i w:val="0"/>
                <w:color w:val="000000"/>
                <w:sz w:val="26"/>
              </w:rPr>
              <w:t>[5]</w:t>
            </w:r>
          </w:p>
        </w:tc>
        <w:tc>
          <w:tcPr>
            <w:tcW w:type="dxa" w:w="1332"/>
            <w:vAlign w:val="center"/>
          </w:tcPr>
          <w:p>
            <w:pPr>
              <w:keepNext w:val="0"/>
              <w:widowControl/>
              <w:spacing w:after="120" w:before="0" w:line="264" w:lineRule="auto"/>
              <w:ind w:firstLine="0"/>
              <w:jc w:val="center"/>
            </w:pPr>
            <w:r>
              <w:rPr>
                <w:rFonts w:ascii="Times New Roman" w:hAnsi="Times New Roman" w:eastAsia="Times New Roman"/>
                <w:b w:val="0"/>
                <w:i w:val="0"/>
                <w:color w:val="000000"/>
                <w:sz w:val="26"/>
              </w:rPr>
              <w:t>[6]</w:t>
            </w:r>
          </w:p>
        </w:tc>
      </w:tr>
      <w:tr>
        <w:trPr>
          <w:cantSplit/>
        </w:trPr>
        <w:tc>
          <w:tcPr>
            <w:tcW w:type="dxa" w:w="794"/>
            <w:vAlign w:val="center"/>
          </w:tcPr>
          <w:p>
            <w:pPr>
              <w:keepNext w:val="0"/>
              <w:widowControl/>
              <w:spacing w:after="120" w:before="0" w:line="264" w:lineRule="auto"/>
              <w:ind w:firstLine="0"/>
              <w:jc w:val="center"/>
            </w:pPr>
            <w:r>
              <w:rPr>
                <w:rFonts w:ascii="Times New Roman" w:hAnsi="Times New Roman" w:eastAsia="Times New Roman"/>
                <w:b w:val="0"/>
                <w:i w:val="0"/>
                <w:color w:val="000000"/>
                <w:sz w:val="26"/>
              </w:rPr>
              <w:t>1</w:t>
            </w:r>
          </w:p>
        </w:tc>
        <w:tc>
          <w:tcPr>
            <w:tcW w:type="dxa" w:w="2948"/>
            <w:vAlign w:val="center"/>
          </w:tcPr>
          <w:p>
            <w:pPr>
              <w:keepNext w:val="0"/>
              <w:widowControl/>
              <w:spacing w:after="120" w:before="0" w:line="264" w:lineRule="auto"/>
              <w:ind w:firstLine="0"/>
              <w:jc w:val="both"/>
            </w:pPr>
            <w:r>
              <w:rPr>
                <w:rFonts w:ascii="Times New Roman" w:hAnsi="Times New Roman" w:eastAsia="Times New Roman"/>
                <w:b w:val="0"/>
                <w:i w:val="0"/>
                <w:color w:val="000000"/>
                <w:sz w:val="26"/>
              </w:rPr>
              <w:t>Chi phí xây dựng</w:t>
            </w: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r>
      <w:tr>
        <w:trPr>
          <w:cantSplit/>
        </w:trPr>
        <w:tc>
          <w:tcPr>
            <w:tcW w:type="dxa" w:w="794"/>
            <w:vAlign w:val="center"/>
          </w:tcPr>
          <w:p>
            <w:pPr>
              <w:keepNext w:val="0"/>
              <w:widowControl/>
              <w:spacing w:after="120" w:before="0" w:line="264" w:lineRule="auto"/>
              <w:ind w:firstLine="0"/>
              <w:jc w:val="center"/>
            </w:pPr>
            <w:r>
              <w:rPr>
                <w:rFonts w:ascii="Times New Roman" w:hAnsi="Times New Roman" w:eastAsia="Times New Roman"/>
                <w:b w:val="0"/>
                <w:i w:val="0"/>
                <w:color w:val="000000"/>
                <w:sz w:val="26"/>
              </w:rPr>
              <w:t>2</w:t>
            </w:r>
          </w:p>
        </w:tc>
        <w:tc>
          <w:tcPr>
            <w:tcW w:type="dxa" w:w="2948"/>
            <w:vAlign w:val="center"/>
          </w:tcPr>
          <w:p>
            <w:pPr>
              <w:keepNext w:val="0"/>
              <w:widowControl/>
              <w:spacing w:after="120" w:before="0" w:line="264" w:lineRule="auto"/>
              <w:ind w:firstLine="0"/>
              <w:jc w:val="both"/>
            </w:pPr>
            <w:r>
              <w:rPr>
                <w:rFonts w:ascii="Times New Roman" w:hAnsi="Times New Roman" w:eastAsia="Times New Roman"/>
                <w:b w:val="0"/>
                <w:i w:val="0"/>
                <w:color w:val="000000"/>
                <w:sz w:val="26"/>
              </w:rPr>
              <w:t>Chi phí thiết bị</w:t>
            </w: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r>
      <w:tr>
        <w:trPr>
          <w:cantSplit/>
        </w:trPr>
        <w:tc>
          <w:tcPr>
            <w:tcW w:type="dxa" w:w="794"/>
            <w:vAlign w:val="center"/>
          </w:tcPr>
          <w:p>
            <w:pPr>
              <w:keepNext w:val="0"/>
              <w:widowControl/>
              <w:spacing w:after="120" w:before="0" w:line="264" w:lineRule="auto"/>
              <w:ind w:firstLine="0"/>
              <w:jc w:val="center"/>
            </w:pPr>
            <w:r>
              <w:rPr>
                <w:rFonts w:ascii="Times New Roman" w:hAnsi="Times New Roman" w:eastAsia="Times New Roman"/>
                <w:b w:val="0"/>
                <w:i w:val="0"/>
                <w:color w:val="000000"/>
                <w:sz w:val="26"/>
              </w:rPr>
              <w:t>3</w:t>
            </w:r>
          </w:p>
        </w:tc>
        <w:tc>
          <w:tcPr>
            <w:tcW w:type="dxa" w:w="2948"/>
            <w:vAlign w:val="center"/>
          </w:tcPr>
          <w:p>
            <w:pPr>
              <w:keepNext w:val="0"/>
              <w:widowControl/>
              <w:spacing w:after="120" w:before="0" w:line="264" w:lineRule="auto"/>
              <w:ind w:firstLine="0"/>
              <w:jc w:val="both"/>
            </w:pPr>
            <w:r>
              <w:rPr>
                <w:rFonts w:ascii="Times New Roman" w:hAnsi="Times New Roman" w:eastAsia="Times New Roman"/>
                <w:b w:val="0"/>
                <w:i w:val="0"/>
                <w:color w:val="000000"/>
                <w:sz w:val="26"/>
              </w:rPr>
              <w:t>Chi phí quản lý dự án</w:t>
            </w: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r>
      <w:tr>
        <w:trPr>
          <w:cantSplit/>
        </w:trPr>
        <w:tc>
          <w:tcPr>
            <w:tcW w:type="dxa" w:w="794"/>
            <w:vAlign w:val="center"/>
          </w:tcPr>
          <w:p>
            <w:pPr>
              <w:keepNext w:val="0"/>
              <w:widowControl/>
              <w:spacing w:after="120" w:before="0" w:line="264" w:lineRule="auto"/>
              <w:ind w:firstLine="0"/>
              <w:jc w:val="center"/>
            </w:pPr>
            <w:r>
              <w:rPr>
                <w:rFonts w:ascii="Times New Roman" w:hAnsi="Times New Roman" w:eastAsia="Times New Roman"/>
                <w:b w:val="0"/>
                <w:i w:val="0"/>
                <w:color w:val="000000"/>
                <w:sz w:val="26"/>
              </w:rPr>
              <w:t>4</w:t>
            </w:r>
          </w:p>
        </w:tc>
        <w:tc>
          <w:tcPr>
            <w:tcW w:type="dxa" w:w="2948"/>
            <w:vAlign w:val="center"/>
          </w:tcPr>
          <w:p>
            <w:pPr>
              <w:keepNext w:val="0"/>
              <w:widowControl/>
              <w:spacing w:after="120" w:before="0" w:line="264" w:lineRule="auto"/>
              <w:ind w:firstLine="0"/>
              <w:jc w:val="both"/>
            </w:pPr>
            <w:r>
              <w:rPr>
                <w:rFonts w:ascii="Times New Roman" w:hAnsi="Times New Roman" w:eastAsia="Times New Roman"/>
                <w:b w:val="0"/>
                <w:i w:val="0"/>
                <w:color w:val="000000"/>
                <w:sz w:val="26"/>
              </w:rPr>
              <w:t>Chi phí tư vấn xây dựng</w:t>
            </w: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r>
      <w:tr>
        <w:trPr>
          <w:cantSplit/>
        </w:trPr>
        <w:tc>
          <w:tcPr>
            <w:tcW w:type="dxa" w:w="794"/>
            <w:vAlign w:val="center"/>
          </w:tcPr>
          <w:p>
            <w:pPr>
              <w:keepNext w:val="0"/>
              <w:widowControl/>
              <w:spacing w:after="120" w:before="0" w:line="264" w:lineRule="auto"/>
              <w:ind w:firstLine="0"/>
              <w:jc w:val="center"/>
            </w:pPr>
            <w:r>
              <w:rPr>
                <w:rFonts w:ascii="Times New Roman" w:hAnsi="Times New Roman" w:eastAsia="Times New Roman"/>
                <w:b w:val="0"/>
                <w:i w:val="0"/>
                <w:color w:val="000000"/>
                <w:sz w:val="26"/>
              </w:rPr>
              <w:t>5</w:t>
            </w:r>
          </w:p>
        </w:tc>
        <w:tc>
          <w:tcPr>
            <w:tcW w:type="dxa" w:w="2948"/>
            <w:vAlign w:val="center"/>
          </w:tcPr>
          <w:p>
            <w:pPr>
              <w:keepNext w:val="0"/>
              <w:widowControl/>
              <w:spacing w:after="120" w:before="0" w:line="264" w:lineRule="auto"/>
              <w:ind w:firstLine="0"/>
              <w:jc w:val="both"/>
            </w:pPr>
            <w:r>
              <w:rPr>
                <w:rFonts w:ascii="Times New Roman" w:hAnsi="Times New Roman" w:eastAsia="Times New Roman"/>
                <w:b w:val="0"/>
                <w:i w:val="0"/>
                <w:color w:val="000000"/>
                <w:sz w:val="26"/>
              </w:rPr>
              <w:t>Chi phí khác</w:t>
            </w: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r>
      <w:tr>
        <w:trPr>
          <w:cantSplit/>
        </w:trPr>
        <w:tc>
          <w:tcPr>
            <w:tcW w:type="dxa" w:w="794"/>
            <w:vAlign w:val="center"/>
          </w:tcPr>
          <w:p>
            <w:pPr>
              <w:keepNext w:val="0"/>
              <w:widowControl/>
              <w:spacing w:after="120" w:before="0" w:line="264" w:lineRule="auto"/>
              <w:ind w:firstLine="0"/>
              <w:jc w:val="center"/>
            </w:pPr>
            <w:r>
              <w:rPr>
                <w:rFonts w:ascii="Times New Roman" w:hAnsi="Times New Roman" w:eastAsia="Times New Roman"/>
                <w:b w:val="0"/>
                <w:i w:val="0"/>
                <w:color w:val="000000"/>
                <w:sz w:val="26"/>
              </w:rPr>
              <w:t>6</w:t>
            </w:r>
          </w:p>
        </w:tc>
        <w:tc>
          <w:tcPr>
            <w:tcW w:type="dxa" w:w="2948"/>
            <w:vAlign w:val="center"/>
          </w:tcPr>
          <w:p>
            <w:pPr>
              <w:keepNext w:val="0"/>
              <w:widowControl/>
              <w:spacing w:after="120" w:before="0" w:line="264" w:lineRule="auto"/>
              <w:ind w:firstLine="0"/>
              <w:jc w:val="both"/>
            </w:pPr>
            <w:r>
              <w:rPr>
                <w:rFonts w:ascii="Times New Roman" w:hAnsi="Times New Roman" w:eastAsia="Times New Roman"/>
                <w:b w:val="0"/>
                <w:i w:val="0"/>
                <w:color w:val="000000"/>
                <w:sz w:val="26"/>
              </w:rPr>
              <w:t>Chi phí dự phòng</w:t>
            </w: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r>
      <w:tr>
        <w:trPr>
          <w:cantSplit/>
        </w:trPr>
        <w:tc>
          <w:tcPr>
            <w:tcW w:type="dxa" w:w="794"/>
            <w:vAlign w:val="center"/>
          </w:tcPr>
          <w:p>
            <w:pPr>
              <w:keepNext w:val="0"/>
              <w:widowControl/>
              <w:spacing w:after="120" w:before="0" w:line="264" w:lineRule="auto"/>
              <w:ind w:firstLine="0"/>
              <w:jc w:val="center"/>
            </w:pPr>
          </w:p>
        </w:tc>
        <w:tc>
          <w:tcPr>
            <w:tcW w:type="dxa" w:w="2948"/>
            <w:vAlign w:val="center"/>
          </w:tcPr>
          <w:p>
            <w:pPr>
              <w:keepNext w:val="0"/>
              <w:widowControl/>
              <w:spacing w:after="120" w:before="0" w:line="264" w:lineRule="auto"/>
              <w:ind w:firstLine="0"/>
              <w:jc w:val="center"/>
            </w:pPr>
            <w:r>
              <w:rPr>
                <w:rFonts w:ascii="Times New Roman" w:hAnsi="Times New Roman" w:eastAsia="Times New Roman"/>
                <w:b/>
                <w:i w:val="0"/>
                <w:color w:val="000000"/>
                <w:sz w:val="26"/>
              </w:rPr>
              <w:t>Tổng cộng</w:t>
            </w: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c>
          <w:tcPr>
            <w:tcW w:type="dxa" w:w="1332"/>
            <w:vAlign w:val="center"/>
          </w:tcPr>
          <w:p>
            <w:pPr>
              <w:keepNext w:val="0"/>
              <w:widowControl/>
              <w:spacing w:after="120" w:before="0" w:line="264" w:lineRule="auto"/>
              <w:ind w:firstLine="0"/>
              <w:jc w:val="center"/>
            </w:pPr>
          </w:p>
        </w:tc>
      </w:tr>
    </w:tbl>
    <w:p>
      <w:pPr>
        <w:keepNext w:val="0"/>
        <w:widowControl/>
        <w:spacing w:after="120" w:before="0" w:line="312" w:lineRule="auto"/>
        <w:ind w:firstLine="720"/>
        <w:jc w:val="both"/>
      </w:pPr>
      <w:r>
        <w:rPr>
          <w:rFonts w:ascii="Times New Roman" w:hAnsi="Times New Roman" w:eastAsia="Times New Roman"/>
          <w:b w:val="0"/>
          <w:i/>
          <w:color w:val="000000"/>
          <w:sz w:val="26"/>
        </w:rPr>
        <w:t>(Có phụ lục chi tiết kèm theo)</w:t>
      </w:r>
    </w:p>
    <w:p>
      <w:pPr>
        <w:keepNext w:val="0"/>
        <w:widowControl/>
        <w:spacing w:after="120" w:before="0" w:line="312" w:lineRule="auto"/>
        <w:ind w:firstLine="720"/>
        <w:jc w:val="both"/>
      </w:pPr>
      <w:r>
        <w:rPr>
          <w:rFonts w:ascii="Times New Roman" w:hAnsi="Times New Roman" w:eastAsia="Times New Roman"/>
          <w:b w:val="0"/>
          <w:i w:val="0"/>
          <w:color w:val="000000"/>
          <w:sz w:val="26"/>
        </w:rPr>
        <w:t>4.4. Phân tích, đánh giá mức độ, nguyên nhân tăng, giảm của các khoản mục chi phí so với giá trị dự toán xây dựng công trình do đơn vị tư vấn lập, thẩm tra (nếu có).</w:t>
      </w:r>
    </w:p>
    <w:p>
      <w:pPr>
        <w:keepNext/>
        <w:widowControl/>
        <w:spacing w:after="120" w:before="80" w:line="312" w:lineRule="auto"/>
        <w:ind w:firstLine="0"/>
        <w:jc w:val="both"/>
      </w:pPr>
      <w:r>
        <w:rPr>
          <w:rFonts w:ascii="Times New Roman" w:hAnsi="Times New Roman" w:eastAsia="Times New Roman"/>
          <w:b/>
          <w:i w:val="0"/>
          <w:color w:val="000000"/>
          <w:sz w:val="26"/>
        </w:rPr>
        <w:t>5. Kết luận và kiến nghị</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 xml:space="preserve">Kết luận: Hồ sơ và dự toán xây dựng công trình </w:t>
      </w:r>
      <w:r>
        <w:rPr>
          <w:rFonts w:ascii="Times New Roman" w:hAnsi="Times New Roman" w:eastAsia="Times New Roman"/>
          <w:b w:val="0"/>
          <w:i/>
          <w:color w:val="000000"/>
          <w:sz w:val="26"/>
        </w:rPr>
        <w:t>(tên công trình của dự án)</w:t>
      </w:r>
      <w:r>
        <w:rPr>
          <w:rFonts w:ascii="Times New Roman" w:hAnsi="Times New Roman" w:eastAsia="Times New Roman"/>
          <w:b w:val="0"/>
          <w:i w:val="0"/>
          <w:color w:val="000000"/>
          <w:sz w:val="26"/>
        </w:rPr>
        <w:t xml:space="preserve"> đủ điều kiện/chưa đủ điều kiện/chỉ đủ điều kiện sau khi hoàn thiện các nội dung yêu cầu để tổng hợp, trình phê duyệt và triển khai các bước tiếp theo.</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Kiến nghị (nếu có).</w:t>
      </w:r>
    </w:p>
    <w:tbl>
      <w:tblPr>
        <w:tblW w:type="auto" w:w="0"/>
        <w:jc w:val="center"/>
        <w:tblLayout w:type="fixed"/>
        <w:tblLook w:firstColumn="1" w:firstRow="1" w:lastColumn="0" w:lastRow="0" w:noHBand="0" w:noVBand="1" w:val="04A0"/>
      </w:tblPr>
      <w:tblGrid>
        <w:gridCol w:w="4989"/>
        <w:gridCol w:w="4082"/>
      </w:tblGrid>
      <w:tr>
        <w:trPr>
          <w:cantSplit/>
        </w:trPr>
        <w:tc>
          <w:tcPr>
            <w:tcW w:type="dxa" w:w="4989"/>
            <w:vAlign w:val="top"/>
          </w:tcPr>
          <w:p>
            <w:pPr>
              <w:keepNext w:val="0"/>
              <w:widowControl/>
              <w:spacing w:after="560" w:before="0" w:line="264" w:lineRule="auto"/>
              <w:ind w:firstLine="0"/>
              <w:jc w:val="left"/>
            </w:pPr>
            <w:r>
              <w:rPr>
                <w:rFonts w:ascii="Times New Roman" w:hAnsi="Times New Roman" w:eastAsia="Times New Roman"/>
                <w:b/>
                <w:i/>
                <w:color w:val="000000"/>
                <w:sz w:val="24"/>
              </w:rPr>
              <w:t>Nơi nhận:</w:t>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br/>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t>- Như trên;</w:t>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br/>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t>- Lưu.</w:t>
            </w:r>
          </w:p>
        </w:tc>
        <w:tc>
          <w:tcPr>
            <w:tcW w:type="dxa" w:w="4082"/>
            <w:vAlign w:val="top"/>
          </w:tcPr>
          <w:p>
            <w:pPr>
              <w:keepNext w:val="0"/>
              <w:widowControl/>
              <w:spacing w:after="560" w:before="0" w:line="264" w:lineRule="auto"/>
              <w:ind w:firstLine="0"/>
              <w:jc w:val="center"/>
            </w:pPr>
            <w:r>
              <w:rPr>
                <w:rFonts w:ascii="Times New Roman" w:hAnsi="Times New Roman" w:eastAsia="Times New Roman"/>
                <w:b/>
                <w:i w:val="0"/>
                <w:color w:val="000000"/>
                <w:sz w:val="26"/>
              </w:rPr>
              <w:t>CƠ QUAN/ĐƠN VỊ THẨM ĐỊNH</w:t>
            </w:r>
            <w:r>
              <w:rPr>
                <w:rFonts w:ascii="Times New Roman" w:hAnsi="Times New Roman" w:eastAsia="Times New Roman"/>
                <w:b/>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i w:val="0"/>
                <w:color w:val="000000"/>
                <w:sz w:val="26"/>
              </w:rPr>
            </w:r>
            <w:r>
              <w:rPr>
                <w:rFonts w:ascii="Times New Roman" w:hAnsi="Times New Roman" w:eastAsia="Times New Roman"/>
                <w:b w:val="0"/>
                <w:i/>
                <w:color w:val="000000"/>
                <w:sz w:val="24"/>
              </w:rPr>
              <w:t>(Ký, ghi rõ họ tên, chức vụ và đóng dấu)</w:t>
            </w:r>
          </w:p>
        </w:tc>
      </w:tr>
    </w:tbl>
    <w:p>
      <w:pPr>
        <w:keepNext w:val="0"/>
        <w:widowControl/>
        <w:spacing w:after="120" w:before="0" w:line="312" w:lineRule="auto"/>
        <w:ind w:firstLine="720"/>
        <w:jc w:val="both"/>
      </w:pPr>
      <w:r>
        <w:rPr>
          <w:rFonts w:ascii="Times New Roman" w:hAnsi="Times New Roman" w:eastAsia="Times New Roman"/>
          <w:b w:val="0"/>
          <w:i w:val="0"/>
          <w:color w:val="000000"/>
          <w:sz w:val="26"/>
          <w:vertAlign w:val="superscript"/>
        </w:rPr>
        <w:t>3</w:t>
      </w:r>
      <w:r>
        <w:rPr>
          <w:rFonts w:ascii="Times New Roman" w:hAnsi="Times New Roman" w:eastAsia="Times New Roman"/>
          <w:b w:val="0"/>
          <w:i w:val="0"/>
          <w:color w:val="000000"/>
          <w:sz w:val="26"/>
        </w:rPr>
        <w:t xml:space="preserve"> </w:t>
      </w:r>
      <w:r>
        <w:rPr>
          <w:rFonts w:ascii="Times New Roman" w:hAnsi="Times New Roman" w:eastAsia="Times New Roman"/>
          <w:b w:val="0"/>
          <w:i/>
          <w:color w:val="000000"/>
          <w:sz w:val="26"/>
        </w:rPr>
        <w:t>Cơ quan/Đơn vị thuộc chủ đầu tư được giao thực hiện thẩm định</w:t>
      </w:r>
    </w:p>
    <w:sectPr w:rsidR="00FC693F" w:rsidRPr="0006063C" w:rsidSect="00034616">
      <w:headerReference w:type="default" r:id="rId9"/>
      <w:headerReference w:type="first" r:id="rId10"/>
      <w:pgSz w:w="11906" w:h="16838"/>
      <w:pgMar w:top="1417" w:right="1134" w:bottom="1417" w:left="1701" w:header="567"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fldSimple w:instr="PAGE"/>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olor w:val="000000"/>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07 – Thẩm định dự toán công trình</dc:title>
  <dc:subject>Phụ lục VIII – 36/2026/TT-BXD</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